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D7C" w:rsidRPr="001033C1" w:rsidRDefault="00CA6D7C" w:rsidP="00A164DB">
      <w:pPr>
        <w:pStyle w:val="Title"/>
        <w:jc w:val="right"/>
        <w:rPr>
          <w:rFonts w:ascii="Calibri" w:hAnsi="Calibri" w:cs="Calibri"/>
        </w:rPr>
      </w:pPr>
      <w:r>
        <w:rPr>
          <w:rFonts w:ascii="Calibri" w:hAnsi="Calibri" w:cs="Calibri"/>
        </w:rPr>
        <w:t>Zał. nr 7 do SIWZ</w:t>
      </w:r>
    </w:p>
    <w:p w:rsidR="00CA6D7C" w:rsidRPr="001033C1" w:rsidRDefault="00CA6D7C" w:rsidP="00A164DB">
      <w:pPr>
        <w:jc w:val="center"/>
        <w:rPr>
          <w:rFonts w:ascii="Calibri" w:hAnsi="Calibri" w:cs="Calibri"/>
          <w:b/>
          <w:bCs/>
          <w:sz w:val="28"/>
          <w:szCs w:val="28"/>
          <w:u w:val="single"/>
        </w:rPr>
      </w:pPr>
      <w:r>
        <w:rPr>
          <w:rFonts w:ascii="Calibri" w:hAnsi="Calibri" w:cs="Calibri"/>
          <w:b/>
          <w:bCs/>
          <w:sz w:val="28"/>
          <w:szCs w:val="28"/>
          <w:u w:val="single"/>
        </w:rPr>
        <w:t>Specyfikacja techniczna</w:t>
      </w:r>
    </w:p>
    <w:p w:rsidR="00CA6D7C" w:rsidRPr="001033C1" w:rsidRDefault="00CA6D7C">
      <w:pPr>
        <w:rPr>
          <w:rFonts w:ascii="Calibri" w:hAnsi="Calibri" w:cs="Calibri"/>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356"/>
        <w:gridCol w:w="1134"/>
      </w:tblGrid>
      <w:tr w:rsidR="00CA6D7C" w:rsidRPr="001033C1">
        <w:tc>
          <w:tcPr>
            <w:tcW w:w="9356" w:type="dxa"/>
            <w:tcMar>
              <w:top w:w="0" w:type="dxa"/>
              <w:left w:w="108" w:type="dxa"/>
              <w:bottom w:w="0" w:type="dxa"/>
              <w:right w:w="108" w:type="dxa"/>
            </w:tcMar>
          </w:tcPr>
          <w:p w:rsidR="00CA6D7C" w:rsidRPr="001033C1" w:rsidRDefault="00CA6D7C" w:rsidP="00473C9A">
            <w:pPr>
              <w:rPr>
                <w:rFonts w:ascii="Calibri" w:hAnsi="Calibri" w:cs="Calibri"/>
                <w:b/>
                <w:bCs/>
                <w:sz w:val="24"/>
                <w:szCs w:val="24"/>
              </w:rPr>
            </w:pPr>
            <w:r w:rsidRPr="001033C1">
              <w:rPr>
                <w:rFonts w:ascii="Calibri" w:hAnsi="Calibri" w:cs="Calibri"/>
                <w:b/>
                <w:bCs/>
                <w:sz w:val="24"/>
                <w:szCs w:val="24"/>
              </w:rPr>
              <w:t>Wyszczególnienie</w:t>
            </w:r>
          </w:p>
        </w:tc>
        <w:tc>
          <w:tcPr>
            <w:tcW w:w="1134" w:type="dxa"/>
            <w:tcMar>
              <w:top w:w="0" w:type="dxa"/>
              <w:left w:w="108" w:type="dxa"/>
              <w:bottom w:w="0" w:type="dxa"/>
              <w:right w:w="108" w:type="dxa"/>
            </w:tcMar>
          </w:tcPr>
          <w:p w:rsidR="00CA6D7C" w:rsidRPr="001033C1" w:rsidRDefault="00CA6D7C" w:rsidP="009A4903">
            <w:pPr>
              <w:jc w:val="center"/>
              <w:rPr>
                <w:rFonts w:ascii="Calibri" w:hAnsi="Calibri" w:cs="Calibri"/>
                <w:b/>
                <w:bCs/>
                <w:sz w:val="24"/>
                <w:szCs w:val="24"/>
              </w:rPr>
            </w:pPr>
            <w:r w:rsidRPr="001033C1">
              <w:rPr>
                <w:rFonts w:ascii="Calibri" w:hAnsi="Calibri" w:cs="Calibri"/>
                <w:b/>
                <w:bCs/>
                <w:sz w:val="24"/>
                <w:szCs w:val="24"/>
              </w:rPr>
              <w:t>Ilość</w:t>
            </w:r>
          </w:p>
        </w:tc>
      </w:tr>
      <w:tr w:rsidR="00CA6D7C" w:rsidRPr="001033C1">
        <w:tc>
          <w:tcPr>
            <w:tcW w:w="9356" w:type="dxa"/>
            <w:tcMar>
              <w:top w:w="0" w:type="dxa"/>
              <w:left w:w="108" w:type="dxa"/>
              <w:bottom w:w="0" w:type="dxa"/>
              <w:right w:w="108" w:type="dxa"/>
            </w:tcMar>
            <w:vAlign w:val="bottom"/>
          </w:tcPr>
          <w:p w:rsidR="00CA6D7C" w:rsidRPr="001033C1" w:rsidRDefault="00CA6D7C" w:rsidP="00516D1B">
            <w:pPr>
              <w:pStyle w:val="ListParagraph"/>
              <w:numPr>
                <w:ilvl w:val="0"/>
                <w:numId w:val="14"/>
              </w:numPr>
              <w:ind w:left="601" w:hanging="283"/>
              <w:rPr>
                <w:rFonts w:ascii="Calibri" w:hAnsi="Calibri" w:cs="Calibri"/>
                <w:b/>
                <w:bCs/>
                <w:sz w:val="24"/>
                <w:szCs w:val="24"/>
              </w:rPr>
            </w:pPr>
            <w:r w:rsidRPr="001033C1">
              <w:rPr>
                <w:rFonts w:ascii="Calibri" w:hAnsi="Calibri" w:cs="Calibri"/>
                <w:b/>
                <w:bCs/>
                <w:sz w:val="24"/>
                <w:szCs w:val="24"/>
              </w:rPr>
              <w:t>Dedykowane urządzenie brzegowe (hardware appliance) typu firewall pracujące w systemie wysokiej dostępności HA</w:t>
            </w:r>
          </w:p>
        </w:tc>
        <w:tc>
          <w:tcPr>
            <w:tcW w:w="1134" w:type="dxa"/>
            <w:tcMar>
              <w:top w:w="0" w:type="dxa"/>
              <w:left w:w="108" w:type="dxa"/>
              <w:bottom w:w="0" w:type="dxa"/>
              <w:right w:w="108" w:type="dxa"/>
            </w:tcMar>
          </w:tcPr>
          <w:p w:rsidR="00CA6D7C" w:rsidRPr="001033C1" w:rsidRDefault="00CA6D7C" w:rsidP="009A4903">
            <w:pPr>
              <w:jc w:val="center"/>
              <w:rPr>
                <w:rFonts w:ascii="Calibri" w:hAnsi="Calibri" w:cs="Calibri"/>
                <w:b/>
                <w:bCs/>
                <w:sz w:val="24"/>
                <w:szCs w:val="24"/>
              </w:rPr>
            </w:pPr>
            <w:r w:rsidRPr="001033C1">
              <w:rPr>
                <w:rFonts w:ascii="Calibri" w:hAnsi="Calibri" w:cs="Calibri"/>
                <w:b/>
                <w:bCs/>
                <w:sz w:val="24"/>
                <w:szCs w:val="24"/>
              </w:rPr>
              <w:t>2 szt.</w:t>
            </w:r>
          </w:p>
        </w:tc>
      </w:tr>
      <w:tr w:rsidR="00CA6D7C" w:rsidRPr="001033C1">
        <w:trPr>
          <w:trHeight w:val="286"/>
        </w:trPr>
        <w:tc>
          <w:tcPr>
            <w:tcW w:w="9356" w:type="dxa"/>
            <w:tcMar>
              <w:top w:w="0" w:type="dxa"/>
              <w:left w:w="108" w:type="dxa"/>
              <w:bottom w:w="0" w:type="dxa"/>
              <w:right w:w="108" w:type="dxa"/>
            </w:tcMar>
            <w:vAlign w:val="bottom"/>
          </w:tcPr>
          <w:p w:rsidR="00CA6D7C" w:rsidRPr="001033C1" w:rsidRDefault="00CA6D7C" w:rsidP="00046FEF">
            <w:pPr>
              <w:pStyle w:val="Akapitzlist3"/>
              <w:numPr>
                <w:ilvl w:val="0"/>
                <w:numId w:val="14"/>
              </w:numPr>
              <w:spacing w:after="0" w:line="240" w:lineRule="auto"/>
              <w:ind w:left="601" w:hanging="283"/>
              <w:rPr>
                <w:b/>
                <w:bCs/>
                <w:sz w:val="24"/>
                <w:szCs w:val="24"/>
              </w:rPr>
            </w:pPr>
            <w:r w:rsidRPr="001033C1">
              <w:rPr>
                <w:b/>
                <w:bCs/>
                <w:sz w:val="24"/>
                <w:szCs w:val="24"/>
              </w:rPr>
              <w:t>Moduł HP 24-portowy Gig-T PoE do rozbudowy przełącznika zl5412</w:t>
            </w:r>
          </w:p>
        </w:tc>
        <w:tc>
          <w:tcPr>
            <w:tcW w:w="1134" w:type="dxa"/>
            <w:tcMar>
              <w:top w:w="0" w:type="dxa"/>
              <w:left w:w="108" w:type="dxa"/>
              <w:bottom w:w="0" w:type="dxa"/>
              <w:right w:w="108" w:type="dxa"/>
            </w:tcMar>
          </w:tcPr>
          <w:p w:rsidR="00CA6D7C" w:rsidRPr="001033C1" w:rsidRDefault="00CA6D7C" w:rsidP="00291570">
            <w:pPr>
              <w:jc w:val="center"/>
              <w:rPr>
                <w:rFonts w:ascii="Calibri" w:hAnsi="Calibri" w:cs="Calibri"/>
                <w:b/>
                <w:bCs/>
                <w:sz w:val="24"/>
                <w:szCs w:val="24"/>
              </w:rPr>
            </w:pPr>
            <w:r w:rsidRPr="001033C1">
              <w:rPr>
                <w:rFonts w:ascii="Calibri" w:hAnsi="Calibri" w:cs="Calibri"/>
                <w:b/>
                <w:bCs/>
                <w:sz w:val="24"/>
                <w:szCs w:val="24"/>
              </w:rPr>
              <w:t>4 szt.</w:t>
            </w:r>
          </w:p>
        </w:tc>
      </w:tr>
      <w:tr w:rsidR="00CA6D7C" w:rsidRPr="001033C1">
        <w:trPr>
          <w:trHeight w:val="556"/>
        </w:trPr>
        <w:tc>
          <w:tcPr>
            <w:tcW w:w="9356" w:type="dxa"/>
            <w:tcMar>
              <w:top w:w="0" w:type="dxa"/>
              <w:left w:w="108" w:type="dxa"/>
              <w:bottom w:w="0" w:type="dxa"/>
              <w:right w:w="108" w:type="dxa"/>
            </w:tcMar>
            <w:vAlign w:val="bottom"/>
          </w:tcPr>
          <w:p w:rsidR="00CA6D7C" w:rsidRPr="001033C1" w:rsidRDefault="00CA6D7C" w:rsidP="00046FEF">
            <w:pPr>
              <w:pStyle w:val="Akapitzlist3"/>
              <w:numPr>
                <w:ilvl w:val="0"/>
                <w:numId w:val="14"/>
              </w:numPr>
              <w:spacing w:after="0" w:line="240" w:lineRule="auto"/>
              <w:ind w:left="601" w:hanging="283"/>
              <w:rPr>
                <w:b/>
                <w:bCs/>
                <w:sz w:val="24"/>
                <w:szCs w:val="24"/>
              </w:rPr>
            </w:pPr>
            <w:r w:rsidRPr="001033C1">
              <w:rPr>
                <w:b/>
                <w:bCs/>
                <w:sz w:val="24"/>
                <w:szCs w:val="24"/>
              </w:rPr>
              <w:t xml:space="preserve">Subskrypcja VEEAM na okres </w:t>
            </w:r>
            <w:r>
              <w:rPr>
                <w:b/>
                <w:bCs/>
                <w:sz w:val="24"/>
                <w:szCs w:val="24"/>
              </w:rPr>
              <w:t xml:space="preserve">minimum </w:t>
            </w:r>
            <w:r w:rsidRPr="001033C1">
              <w:rPr>
                <w:b/>
                <w:bCs/>
                <w:sz w:val="24"/>
                <w:szCs w:val="24"/>
              </w:rPr>
              <w:t>1 roku dla 26 gniazd procesora</w:t>
            </w:r>
          </w:p>
          <w:p w:rsidR="00CA6D7C" w:rsidRPr="001033C1" w:rsidRDefault="00CA6D7C" w:rsidP="00046FEF">
            <w:pPr>
              <w:pStyle w:val="Akapitzlist1"/>
              <w:spacing w:after="0" w:line="240" w:lineRule="auto"/>
              <w:ind w:left="601"/>
              <w:rPr>
                <w:rFonts w:cs="Times New Roman"/>
                <w:b/>
                <w:bCs/>
                <w:sz w:val="24"/>
                <w:szCs w:val="24"/>
                <w:lang w:val="en-US"/>
              </w:rPr>
            </w:pPr>
            <w:r w:rsidRPr="001033C1">
              <w:rPr>
                <w:sz w:val="24"/>
                <w:szCs w:val="24"/>
                <w:lang w:val="en-US"/>
              </w:rPr>
              <w:t>V-VBRSTD-VS-P01AR-00 Annual Maintenance Renewal - Veeam Backup &amp; Replication Standard for VMware</w:t>
            </w:r>
          </w:p>
        </w:tc>
        <w:tc>
          <w:tcPr>
            <w:tcW w:w="1134" w:type="dxa"/>
            <w:tcMar>
              <w:top w:w="0" w:type="dxa"/>
              <w:left w:w="108" w:type="dxa"/>
              <w:bottom w:w="0" w:type="dxa"/>
              <w:right w:w="108" w:type="dxa"/>
            </w:tcMar>
          </w:tcPr>
          <w:p w:rsidR="00CA6D7C" w:rsidRPr="001033C1" w:rsidRDefault="00CA6D7C" w:rsidP="001F6170">
            <w:pPr>
              <w:jc w:val="center"/>
              <w:rPr>
                <w:rFonts w:ascii="Calibri" w:hAnsi="Calibri" w:cs="Calibri"/>
                <w:b/>
                <w:bCs/>
                <w:sz w:val="24"/>
                <w:szCs w:val="24"/>
              </w:rPr>
            </w:pPr>
            <w:r w:rsidRPr="001033C1">
              <w:rPr>
                <w:rFonts w:ascii="Calibri" w:hAnsi="Calibri" w:cs="Calibri"/>
                <w:b/>
                <w:bCs/>
                <w:sz w:val="24"/>
                <w:szCs w:val="24"/>
              </w:rPr>
              <w:t>1 szt.</w:t>
            </w:r>
          </w:p>
        </w:tc>
      </w:tr>
      <w:tr w:rsidR="00CA6D7C" w:rsidRPr="001033C1">
        <w:tc>
          <w:tcPr>
            <w:tcW w:w="9356" w:type="dxa"/>
            <w:tcMar>
              <w:top w:w="0" w:type="dxa"/>
              <w:left w:w="108" w:type="dxa"/>
              <w:bottom w:w="0" w:type="dxa"/>
              <w:right w:w="108" w:type="dxa"/>
            </w:tcMar>
            <w:vAlign w:val="bottom"/>
          </w:tcPr>
          <w:p w:rsidR="00CA6D7C" w:rsidRPr="001033C1" w:rsidRDefault="00CA6D7C" w:rsidP="00046FEF">
            <w:pPr>
              <w:pStyle w:val="Akapitzlist1"/>
              <w:numPr>
                <w:ilvl w:val="0"/>
                <w:numId w:val="14"/>
              </w:numPr>
              <w:spacing w:after="0" w:line="240" w:lineRule="auto"/>
              <w:ind w:left="601" w:hanging="283"/>
              <w:rPr>
                <w:b/>
                <w:bCs/>
                <w:sz w:val="24"/>
                <w:szCs w:val="24"/>
              </w:rPr>
            </w:pPr>
            <w:r w:rsidRPr="001033C1">
              <w:rPr>
                <w:b/>
                <w:bCs/>
                <w:sz w:val="24"/>
                <w:szCs w:val="24"/>
              </w:rPr>
              <w:t>Przygotowanie i rekonfiguracja środowiska sieciowego na potrzeby rozdziału sieci</w:t>
            </w:r>
          </w:p>
        </w:tc>
        <w:tc>
          <w:tcPr>
            <w:tcW w:w="1134" w:type="dxa"/>
            <w:tcMar>
              <w:top w:w="0" w:type="dxa"/>
              <w:left w:w="108" w:type="dxa"/>
              <w:bottom w:w="0" w:type="dxa"/>
              <w:right w:w="108" w:type="dxa"/>
            </w:tcMar>
          </w:tcPr>
          <w:p w:rsidR="00CA6D7C" w:rsidRPr="001033C1" w:rsidRDefault="00CA6D7C" w:rsidP="001F6170">
            <w:pPr>
              <w:jc w:val="center"/>
              <w:rPr>
                <w:rFonts w:ascii="Calibri" w:hAnsi="Calibri" w:cs="Calibri"/>
                <w:b/>
                <w:bCs/>
                <w:sz w:val="24"/>
                <w:szCs w:val="24"/>
              </w:rPr>
            </w:pPr>
            <w:r w:rsidRPr="001033C1">
              <w:rPr>
                <w:rFonts w:ascii="Calibri" w:hAnsi="Calibri" w:cs="Calibri"/>
                <w:b/>
                <w:bCs/>
                <w:sz w:val="24"/>
                <w:szCs w:val="24"/>
              </w:rPr>
              <w:t>1 szt.</w:t>
            </w:r>
          </w:p>
        </w:tc>
      </w:tr>
      <w:tr w:rsidR="00CA6D7C" w:rsidRPr="001033C1">
        <w:tc>
          <w:tcPr>
            <w:tcW w:w="9356" w:type="dxa"/>
            <w:tcMar>
              <w:top w:w="0" w:type="dxa"/>
              <w:left w:w="108" w:type="dxa"/>
              <w:bottom w:w="0" w:type="dxa"/>
              <w:right w:w="108" w:type="dxa"/>
            </w:tcMar>
            <w:vAlign w:val="bottom"/>
          </w:tcPr>
          <w:p w:rsidR="00CA6D7C" w:rsidRPr="001033C1" w:rsidRDefault="00CA6D7C" w:rsidP="00046FEF">
            <w:pPr>
              <w:pStyle w:val="Akapitzlist1"/>
              <w:numPr>
                <w:ilvl w:val="0"/>
                <w:numId w:val="14"/>
              </w:numPr>
              <w:spacing w:after="0" w:line="240" w:lineRule="auto"/>
              <w:ind w:left="601" w:hanging="283"/>
              <w:rPr>
                <w:b/>
                <w:bCs/>
                <w:sz w:val="24"/>
                <w:szCs w:val="24"/>
              </w:rPr>
            </w:pPr>
            <w:r w:rsidRPr="001033C1">
              <w:rPr>
                <w:b/>
                <w:bCs/>
                <w:sz w:val="24"/>
                <w:szCs w:val="24"/>
              </w:rPr>
              <w:t>Instalacja, wdrożenie i konfiguracja urządzenia brzegowego</w:t>
            </w:r>
          </w:p>
        </w:tc>
        <w:tc>
          <w:tcPr>
            <w:tcW w:w="1134" w:type="dxa"/>
            <w:tcMar>
              <w:top w:w="0" w:type="dxa"/>
              <w:left w:w="108" w:type="dxa"/>
              <w:bottom w:w="0" w:type="dxa"/>
              <w:right w:w="108" w:type="dxa"/>
            </w:tcMar>
          </w:tcPr>
          <w:p w:rsidR="00CA6D7C" w:rsidRPr="001033C1" w:rsidRDefault="00CA6D7C" w:rsidP="009A4903">
            <w:pPr>
              <w:jc w:val="center"/>
              <w:rPr>
                <w:rFonts w:ascii="Calibri" w:hAnsi="Calibri" w:cs="Calibri"/>
                <w:b/>
                <w:bCs/>
                <w:sz w:val="24"/>
                <w:szCs w:val="24"/>
              </w:rPr>
            </w:pPr>
            <w:r w:rsidRPr="001033C1">
              <w:rPr>
                <w:rFonts w:ascii="Calibri" w:hAnsi="Calibri" w:cs="Calibri"/>
                <w:b/>
                <w:bCs/>
                <w:sz w:val="24"/>
                <w:szCs w:val="24"/>
              </w:rPr>
              <w:t>1 szt.</w:t>
            </w:r>
          </w:p>
        </w:tc>
      </w:tr>
    </w:tbl>
    <w:p w:rsidR="00CA6D7C" w:rsidRPr="001033C1" w:rsidRDefault="00CA6D7C" w:rsidP="00473C9A">
      <w:pPr>
        <w:pStyle w:val="Header"/>
        <w:tabs>
          <w:tab w:val="clear" w:pos="4536"/>
          <w:tab w:val="clear" w:pos="9072"/>
        </w:tabs>
        <w:rPr>
          <w:rFonts w:ascii="Calibri" w:hAnsi="Calibri" w:cs="Calibri"/>
          <w:b/>
          <w:bCs/>
        </w:rPr>
      </w:pPr>
    </w:p>
    <w:p w:rsidR="00CA6D7C" w:rsidRPr="001033C1" w:rsidRDefault="00CA6D7C" w:rsidP="000A1F06">
      <w:pPr>
        <w:pStyle w:val="Header"/>
        <w:tabs>
          <w:tab w:val="clear" w:pos="4536"/>
          <w:tab w:val="clear" w:pos="9072"/>
        </w:tabs>
        <w:ind w:hanging="142"/>
        <w:rPr>
          <w:rFonts w:ascii="Calibri" w:hAnsi="Calibri" w:cs="Calibri"/>
          <w:b/>
          <w:bCs/>
          <w:sz w:val="24"/>
          <w:szCs w:val="24"/>
          <w:u w:val="single"/>
        </w:rPr>
      </w:pPr>
      <w:r w:rsidRPr="001033C1">
        <w:rPr>
          <w:rFonts w:ascii="Calibri" w:hAnsi="Calibri" w:cs="Calibri"/>
          <w:b/>
          <w:bCs/>
          <w:sz w:val="24"/>
          <w:szCs w:val="24"/>
          <w:u w:val="single"/>
        </w:rPr>
        <w:t>Wymagania funkcjonalne do pkt I:</w:t>
      </w:r>
    </w:p>
    <w:p w:rsidR="00CA6D7C" w:rsidRPr="001033C1" w:rsidRDefault="00CA6D7C" w:rsidP="000A1F06">
      <w:pPr>
        <w:pStyle w:val="Header"/>
        <w:tabs>
          <w:tab w:val="clear" w:pos="4536"/>
          <w:tab w:val="clear" w:pos="9072"/>
        </w:tabs>
        <w:ind w:hanging="426"/>
        <w:rPr>
          <w:rFonts w:ascii="Calibri" w:hAnsi="Calibri" w:cs="Calibri"/>
          <w:b/>
          <w:bCs/>
        </w:rPr>
      </w:pP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być dostarczony jako dedykowane urządzenie zabezpieczeń sieciowych (appliance). W architekturze sprzętowej systemu musi występować separacja modułu zarządzania i modułu przetwarzania danych. Całość sprzętu i oprogramowania musi być dostarczana i wspierana przez jednego producenta.</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posiadać przepływność w ruchu full-duplex nie mniej niż 2 Gbit/s dla kontroli firewall z włączoną funkcją kontroli aplikacji, nie mniej niż 1 Gbit/s dla kontroli zawartości (w tym kontrola anty-wirus, anty-spyware, IPS i web filtering) i obsługiwać nie mniej niż 250 000 jednoczesnych połączeń.</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być wyposażony w co najmniej 12 portów Ethernet 10/100/1000. Musi być możliwość zamontowania w urządzeniu minimum 8 interfejsów optycznych (SFP).</w:t>
      </w:r>
    </w:p>
    <w:p w:rsidR="00CA6D7C" w:rsidRPr="00953AE0"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działać w trybie rutera (tzn. w warstwie 3 modelu OSI), w trybie przełącznika (tzn. w</w:t>
      </w:r>
      <w:r>
        <w:rPr>
          <w:rFonts w:ascii="Calibri" w:hAnsi="Calibri" w:cs="Calibri"/>
        </w:rPr>
        <w:t> </w:t>
      </w:r>
      <w:r w:rsidRPr="001033C1">
        <w:rPr>
          <w:rFonts w:ascii="Calibri" w:hAnsi="Calibri" w:cs="Calibri"/>
        </w:rPr>
        <w:t xml:space="preserve">warstwie 2 modelu OSI), w trybie transparentnym oraz w trybie pasywnego nasłuchu (sniffer). Funkcjonując w trybie transparentnym urządzenie nie może posiadać skonfigurowanych adresów IP na interfejsach sieciowych jak również nie </w:t>
      </w:r>
      <w:r w:rsidRPr="00953AE0">
        <w:rPr>
          <w:rFonts w:ascii="Calibri" w:hAnsi="Calibri" w:cs="Calibri"/>
        </w:rPr>
        <w:t xml:space="preserve">może wprowadzać segmentacji sieci na odrębne domeny kolizyjne w sensie Ethernet/CSMA. Tryb pracy zabezpieczeń musi być ustalany w konfiguracji interfejsów inspekcyjnych. </w:t>
      </w:r>
    </w:p>
    <w:p w:rsidR="00CA6D7C" w:rsidRPr="00953AE0"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System zabezpieczeń firewall musi móc pracować w różnych trybach (wymienionych w poprzednim punkcie) jednocześnie w pojedynczej logicznej instancji systemu zabezpieczeń (np. wirtualny system, wirtualna domena, itp.).</w:t>
      </w:r>
    </w:p>
    <w:p w:rsidR="00CA6D7C" w:rsidRPr="001033C1"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System zabezpieczeń firewall musi mieć możliwość pracy w trybie transparentnym L1 (bez konieczności nadawania</w:t>
      </w:r>
      <w:r w:rsidRPr="001033C1">
        <w:rPr>
          <w:rFonts w:ascii="Calibri" w:hAnsi="Calibri" w:cs="Calibri"/>
        </w:rPr>
        <w:t xml:space="preserve"> adresu IP) oraz pozwalać na tworzenie transparentnych subinterfejsów, które będą obsługiwały ruch z wybranych vlanów lub podsieci IP.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obsługiwać nie mniej niż 10 wirtualnych routerów posiadających odrębne tabele routingu i umożliwiać uruchomienie więcej niż jednej tablicy routingu w pojedynczej instancji systemu zabezpieczeń. Urządzenie musi obsługiwać protokoły routingu dynamicznego, nie mniej niż BGP, RIP i OSPF.</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Polityka zabezpieczeń firewall musi uwzględniać strefy bezpieczeństwa, adresy IP klientów i serwerów, protokoły i usługi sieciowe, aplikacje, użytkowników aplikacji, reakcje zabezpieczeń, rejestrowanie zdarzeń i alarmowanie oraz zarządzanie pasmem sieci (minimum priorytet, pasmo gwarantowane, pasmo maksymalne, oznaczenia DiffServ).</w:t>
      </w:r>
    </w:p>
    <w:p w:rsidR="00CA6D7C" w:rsidRPr="00953AE0"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System zabezpieczeń firewall musi działać zgodnie z zasadą blokowania wszystkich aplikacji, poza tymi które w regułach polityki bezpieczeństwa firewa</w:t>
      </w:r>
      <w:r>
        <w:rPr>
          <w:rFonts w:ascii="Calibri" w:hAnsi="Calibri" w:cs="Calibri"/>
        </w:rPr>
        <w:t>ll są wskazane jako dozwolone.</w:t>
      </w:r>
    </w:p>
    <w:p w:rsidR="00CA6D7C" w:rsidRPr="00953AE0"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Wymagania dotyczące wykrywania aplikacji o których mowa w załączniku:</w:t>
      </w:r>
    </w:p>
    <w:p w:rsidR="00CA6D7C" w:rsidRPr="00953AE0" w:rsidRDefault="00CA6D7C" w:rsidP="000A1F06">
      <w:pPr>
        <w:pStyle w:val="ColorfulList-Accent11"/>
        <w:numPr>
          <w:ilvl w:val="1"/>
          <w:numId w:val="27"/>
        </w:numPr>
        <w:ind w:left="1418" w:hanging="284"/>
        <w:jc w:val="both"/>
        <w:rPr>
          <w:rFonts w:ascii="Calibri" w:hAnsi="Calibri" w:cs="Calibri"/>
        </w:rPr>
      </w:pPr>
      <w:r w:rsidRPr="00953AE0">
        <w:rPr>
          <w:rFonts w:ascii="Calibri" w:hAnsi="Calibri" w:cs="Calibri"/>
        </w:rPr>
        <w:t>system zabezpieczeń firewall musi automatycznie identyfikować wszystkie aplikacje bez względu na numery portów, protokoły tunelowania i szyfrowania (włącznie z P2P i IM),</w:t>
      </w:r>
    </w:p>
    <w:p w:rsidR="00CA6D7C" w:rsidRPr="00953AE0" w:rsidRDefault="00CA6D7C" w:rsidP="000A1F06">
      <w:pPr>
        <w:pStyle w:val="ColorfulList-Accent11"/>
        <w:numPr>
          <w:ilvl w:val="1"/>
          <w:numId w:val="27"/>
        </w:numPr>
        <w:ind w:left="1418" w:hanging="284"/>
        <w:jc w:val="both"/>
        <w:rPr>
          <w:rFonts w:ascii="Calibri" w:hAnsi="Calibri" w:cs="Calibri"/>
        </w:rPr>
      </w:pPr>
      <w:r w:rsidRPr="00953AE0">
        <w:rPr>
          <w:rFonts w:ascii="Calibri" w:hAnsi="Calibri" w:cs="Calibri"/>
        </w:rPr>
        <w:t>identyfikacja aplikacji musi odbywać się co najmniej poprzez sygnatury, analizę heurystyczną a także dekrypcję SSL dla wybranych aplikacji,</w:t>
      </w:r>
    </w:p>
    <w:p w:rsidR="00CA6D7C" w:rsidRPr="00953AE0" w:rsidRDefault="00CA6D7C" w:rsidP="000A1F06">
      <w:pPr>
        <w:pStyle w:val="ColorfulList-Accent11"/>
        <w:numPr>
          <w:ilvl w:val="1"/>
          <w:numId w:val="27"/>
        </w:numPr>
        <w:ind w:left="1418" w:hanging="284"/>
        <w:jc w:val="both"/>
        <w:rPr>
          <w:rFonts w:ascii="Calibri" w:hAnsi="Calibri" w:cs="Calibri"/>
        </w:rPr>
      </w:pPr>
      <w:r w:rsidRPr="00953AE0">
        <w:rPr>
          <w:rFonts w:ascii="Calibri" w:hAnsi="Calibri" w:cs="Calibri"/>
        </w:rPr>
        <w:t>identyfikacja aplikacji nie może wymagać podania w konfiguracji urządzenia numeru lub zakresu portów na których dokonywana jest identyfikacja aplikacji,</w:t>
      </w:r>
    </w:p>
    <w:p w:rsidR="00CA6D7C" w:rsidRPr="00953AE0" w:rsidRDefault="00CA6D7C" w:rsidP="000A1F06">
      <w:pPr>
        <w:pStyle w:val="ColorfulList-Accent11"/>
        <w:numPr>
          <w:ilvl w:val="1"/>
          <w:numId w:val="27"/>
        </w:numPr>
        <w:ind w:left="1418" w:hanging="284"/>
        <w:jc w:val="both"/>
        <w:rPr>
          <w:rFonts w:ascii="Calibri" w:hAnsi="Calibri" w:cs="Calibri"/>
        </w:rPr>
      </w:pPr>
      <w:r w:rsidRPr="00953AE0">
        <w:rPr>
          <w:rFonts w:ascii="Calibri" w:hAnsi="Calibri" w:cs="Calibri"/>
        </w:rPr>
        <w:t>należy założyć, że wszystkie aplikacje mogą występować na wszystkich 65 535 dostępnych portach,</w:t>
      </w:r>
    </w:p>
    <w:p w:rsidR="00CA6D7C" w:rsidRPr="00953AE0" w:rsidRDefault="00CA6D7C" w:rsidP="000A1F06">
      <w:pPr>
        <w:pStyle w:val="ColorfulList-Accent11"/>
        <w:numPr>
          <w:ilvl w:val="1"/>
          <w:numId w:val="27"/>
        </w:numPr>
        <w:ind w:left="1418" w:hanging="284"/>
        <w:jc w:val="both"/>
        <w:rPr>
          <w:rFonts w:ascii="Calibri" w:hAnsi="Calibri" w:cs="Calibri"/>
        </w:rPr>
      </w:pPr>
      <w:r w:rsidRPr="00953AE0">
        <w:rPr>
          <w:rFonts w:ascii="Calibri" w:hAnsi="Calibri" w:cs="Calibri"/>
        </w:rPr>
        <w:t>system zabezpieczeń firewall musi posiadać możliwość definiowania i przydzielania różnych profili ochrony dla powyższych/poniższych aplikacji w zakresie (AV, IPS, AS, URL, blokowanie plików) per aplikacja. Musi istnieć możliwość przydzielania innych profili ochrony (AV, IPS, AS, URL, blokowanie plików) dla dwóch różnych aplikacji pracujących na tym samym porcie.</w:t>
      </w:r>
    </w:p>
    <w:p w:rsidR="00CA6D7C" w:rsidRPr="00953AE0"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 xml:space="preserve">System zabezpieczeń firewall musi pozwalać na klasyfikowanie ruchu w oparciu o aplikację tzn. aplikacja ma być elementem klasyfikującym ruch który ma zostać poddany dalszej inspekcji.  </w:t>
      </w:r>
    </w:p>
    <w:p w:rsidR="00CA6D7C" w:rsidRPr="00953AE0" w:rsidRDefault="00CA6D7C" w:rsidP="000A1F06">
      <w:pPr>
        <w:pStyle w:val="ColorfulList-Accent11"/>
        <w:numPr>
          <w:ilvl w:val="0"/>
          <w:numId w:val="27"/>
        </w:numPr>
        <w:ind w:left="567" w:hanging="567"/>
        <w:jc w:val="both"/>
        <w:rPr>
          <w:rFonts w:ascii="Calibri" w:hAnsi="Calibri" w:cs="Calibri"/>
        </w:rPr>
      </w:pPr>
      <w:r w:rsidRPr="00953AE0">
        <w:rPr>
          <w:rFonts w:ascii="Calibri" w:hAnsi="Calibri" w:cs="Calibri"/>
        </w:rPr>
        <w:t>Wydajność kontroli firewall i kontroli aplikacji musi być taka sama i wynosić w ruchu full-duplex nie mniej niż 2 Gbit/s.</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Nie jest dopuszczalne, aby blokow</w:t>
      </w:r>
      <w:r>
        <w:rPr>
          <w:rFonts w:ascii="Calibri" w:hAnsi="Calibri" w:cs="Calibri"/>
        </w:rPr>
        <w:t>a</w:t>
      </w:r>
      <w:r w:rsidRPr="001033C1">
        <w:rPr>
          <w:rFonts w:ascii="Calibri" w:hAnsi="Calibri" w:cs="Calibri"/>
        </w:rPr>
        <w:t xml:space="preserve">nie aplikacji (P2P, IM, itp.) odbywało się poprzez inne mechanizmy ochrony niż firewall.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Nie jest dopuszczalne rozwiązanie, gdzie kontrola aplikacji wykorzystuje moduł IPS, sygnatury IPS i dekodery protokołu IPS.</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zapewniać inspekcję komunikacji szyfrowanej HTTPS (HTTP szyfrowane protokołem SSL) dla ruchu wychodzącego do serwerów zewnętrznych (np. komunikacji użytkowników surfujących w Internecie) oraz ruchu przychodzącego do serwerów firmy. System musi mieć możliwość deszyfracji niezaufanego ruchu HTTPS i poddania go właściwej inspekcji, nie mniej niż: wykrywanie i blokowanie ataków typu exploit (ochrona Intrusion Prevention), wirusy i inny złośliwy kod (ochrona anty-wirus i any-spyware), filtracja plików, danych i URL.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zapewniać inspekcję komunikacji szyfrowanej protokołem SSL dla ruchu innego niż HTTP. System musi mieć możliwość deszyfracji niezaufanego ruchu SSL i poddania go właściwej inspekcji, nie mniej niż: wykrywanie i blokowanie ataków typu exploit (ochrona Intrusion Prevention), wirusy i inny złośliwy kod (ochrona anty-wirus i any-spyware), filtracja plików, danych i URL.</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umożliwiać inspekcję szyfrowanej komunikacji SSH (Secure Shell) dla ruchu wychodzącego w celu wykrywania tunelowania innych protokołów w ramach usługi SSH.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System zabezpieczeń firewall musi zostać dostarczony z subskrypcją na co najmniej 3 lata pozwalającą na uruchomienie modułu filtrowania stron WWW w zależności od kategorii treści stron HTTP. Baza web filtering musi być przechowywana na urządzeniu, regularnie aktualizowana w sposób automatyczny. System zabezpieczeń firewall musi posiadać możliwość uruchomienia modułu filtrowania stron WWW per reguła polityki bezpieczeństwa firewall. Nie jest dopuszczalne, aby funkcjonalność filtrowania stron WWW uruchamiana była per urządzenie lub jego część (np. interfejs sieciowy, strefa bezpieczeństwa).</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zostać dostarczony z subskrypcją na co najmniej 3 lata pozwalającą na uruchomienie modułu inspekcji antywirusowej per aplikacja oraz wybrany dekoder taki jak http, smtp, imap, pop3, ftp, smb kontrolującego ruch. Baza sygnatur anty-wirus musi być przechowywania na urządzeniu, regularnie aktualizowana w sposób automatyczny i pochodzić od tego samego producenta co producent systemu zabezpieczeń. System zabezpieczeń firewall musi posiadać możliwość uruchomienia modułu inspekcji antywirusowej per reguła polityki bezpieczeństwa firewall. Nie jest dopuszczalne, aby moduł inspekcji antywirusowej uruchamiany był per urządzenie lub jego część (np. interfejs sieciowy, strefa bezpieczeństwa).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zostać dostarczony z subskrypcją na co najmniej 3 lata pozwalającą na uruchomienie modułu wykrywania i blokowania ataków intruzów w warstwie 7 modelu OSI IPS/IDS bez konieczności dokupowania jakichkolwiek komponentów, poza subskrypcją. Baza sygnatur IPS/IDS musi być przechowywania na urządzeniu, regularnie aktualizowana w sposób automatyczny i pochodzić od tego samego producenta co producent systemu zabezpieczeń. System zabezpieczeń firewall musi posiadać możliwość uruchomienia modułu IPS/IDS per reguła polityki bezpieczeństwa firewall. Nie jest dopuszczalne, aby funkcjonalność IPS/IDS uruchamiana była per urządzenie lub jego część (np. interfejs sieciowy, strefa bezpieczeństwa). System zabezpieczeń firewall musi posiadać możliwość ręcznego tworzenia sygnatur IPS bezpośrednio na urządzeniu bez użycia zewnętrznych narzędzi i wsparcia producenta. </w:t>
      </w:r>
    </w:p>
    <w:p w:rsidR="00CA6D7C" w:rsidRPr="001033C1"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zostać dostarczony z subskrypcją na co najmniej 3 lata pozwalającą na uruchomienie modułu anty-spyware bez konieczności dokupowania jakichkolwiek komponentów, poza subskrypcją. Baza sygnatur anty-spyware musi być przechowywania na urządzeniu, regularnie aktualizowana w sposób automatyczny i pochodzić od tego samego producenta co producent systemu zabezpieczeń. System zabezpieczeń firewall musi posiadać możliwość uruchomienia modułu anty-spyware per reguła polityki bezpieczeństwa firewall. Nie jest dopuszczalne, aby funkcjonalność anty-spyware uruchamiana była per urządzenie lub jego część (np. interfejs sieciowy, strefa bezpieczeństwa). System zabezpieczeń firewall musi posiadać możliwość ręcznego tworzenia sygnatur anty-spyware bezpośrednio na urządzeniu bez użycia zewnętrznych narzędzi i wsparcia producenta.  </w:t>
      </w:r>
    </w:p>
    <w:p w:rsidR="00CA6D7C" w:rsidRPr="00953AE0" w:rsidRDefault="00CA6D7C" w:rsidP="000A1F06">
      <w:pPr>
        <w:pStyle w:val="ColorfulList-Accent11"/>
        <w:numPr>
          <w:ilvl w:val="0"/>
          <w:numId w:val="27"/>
        </w:numPr>
        <w:ind w:left="567" w:hanging="567"/>
        <w:jc w:val="both"/>
        <w:rPr>
          <w:rFonts w:ascii="Calibri" w:hAnsi="Calibri" w:cs="Calibri"/>
        </w:rPr>
      </w:pPr>
      <w:r w:rsidRPr="001033C1">
        <w:rPr>
          <w:rFonts w:ascii="Calibri" w:hAnsi="Calibri" w:cs="Calibri"/>
        </w:rPr>
        <w:t xml:space="preserve">System zabezpieczeń firewall musi zostać dostarczony z </w:t>
      </w:r>
      <w:r>
        <w:rPr>
          <w:rFonts w:ascii="Calibri" w:hAnsi="Calibri" w:cs="Calibri"/>
        </w:rPr>
        <w:t xml:space="preserve">co najmniej </w:t>
      </w:r>
      <w:r w:rsidRPr="001033C1">
        <w:rPr>
          <w:rFonts w:ascii="Calibri" w:hAnsi="Calibri" w:cs="Calibri"/>
        </w:rPr>
        <w:t>3</w:t>
      </w:r>
      <w:r>
        <w:rPr>
          <w:rFonts w:ascii="Calibri" w:hAnsi="Calibri" w:cs="Calibri"/>
        </w:rPr>
        <w:t>-</w:t>
      </w:r>
      <w:r w:rsidRPr="001033C1">
        <w:rPr>
          <w:rFonts w:ascii="Calibri" w:hAnsi="Calibri" w:cs="Calibri"/>
        </w:rPr>
        <w:t>letnim wsparciem świadczonym w języku polskim u</w:t>
      </w:r>
      <w:r>
        <w:rPr>
          <w:rFonts w:ascii="Calibri" w:hAnsi="Calibri" w:cs="Calibri"/>
        </w:rPr>
        <w:t> </w:t>
      </w:r>
      <w:r w:rsidRPr="001033C1">
        <w:rPr>
          <w:rFonts w:ascii="Calibri" w:hAnsi="Calibri" w:cs="Calibri"/>
        </w:rPr>
        <w:t>autoryzowanego partnera supportowego producenta sprzętu. Wsparcie musi zawierać możliwość zakładania i</w:t>
      </w:r>
      <w:r>
        <w:rPr>
          <w:rFonts w:ascii="Calibri" w:hAnsi="Calibri" w:cs="Calibri"/>
        </w:rPr>
        <w:t> </w:t>
      </w:r>
      <w:r w:rsidRPr="00953AE0">
        <w:rPr>
          <w:rFonts w:ascii="Calibri" w:hAnsi="Calibri" w:cs="Calibri"/>
        </w:rPr>
        <w:t>rozwiązywania nielimitowanej liczby zgłoszeń serwisowych, aktualizacje oprogramowania oraz wymianę uszkodzonego sprzętu w rygorze Next Day Shipment.</w:t>
      </w:r>
    </w:p>
    <w:p w:rsidR="00CA6D7C" w:rsidRPr="00953AE0" w:rsidRDefault="00CA6D7C" w:rsidP="000A1F06">
      <w:pPr>
        <w:numPr>
          <w:ilvl w:val="0"/>
          <w:numId w:val="27"/>
        </w:numPr>
        <w:ind w:left="567" w:hanging="567"/>
        <w:contextualSpacing/>
        <w:jc w:val="both"/>
        <w:rPr>
          <w:rFonts w:ascii="Calibri" w:hAnsi="Calibri" w:cs="Calibri"/>
        </w:rPr>
      </w:pPr>
      <w:r w:rsidRPr="00953AE0">
        <w:rPr>
          <w:rFonts w:ascii="Calibri" w:hAnsi="Calibri" w:cs="Calibri"/>
        </w:rPr>
        <w:t>Urządzenia muszą umożliwiać definiowanie i przydzielanie odmiennych profili kontrolujących transfer różnych rodzajów plików dla aplikacji pracujących n</w:t>
      </w:r>
      <w:r>
        <w:rPr>
          <w:rFonts w:ascii="Calibri" w:hAnsi="Calibri" w:cs="Calibri"/>
        </w:rPr>
        <w:t>a tym samym porcie UDP lub TCP.</w:t>
      </w:r>
    </w:p>
    <w:p w:rsidR="00CA6D7C" w:rsidRDefault="00CA6D7C" w:rsidP="000A1F06">
      <w:pPr>
        <w:numPr>
          <w:ilvl w:val="0"/>
          <w:numId w:val="27"/>
        </w:numPr>
        <w:ind w:left="567" w:hanging="567"/>
        <w:contextualSpacing/>
        <w:jc w:val="both"/>
        <w:rPr>
          <w:rFonts w:ascii="Calibri" w:hAnsi="Calibri" w:cs="Calibri"/>
        </w:rPr>
      </w:pPr>
      <w:r w:rsidRPr="00953AE0">
        <w:rPr>
          <w:rFonts w:ascii="Calibri" w:hAnsi="Calibri" w:cs="Calibri"/>
        </w:rPr>
        <w:t>Urządzenia muszą mieć możliwość uruchomienia kilku, odrębnych tablic routingu w pojedynczej, logicznej instancji systemu.</w:t>
      </w:r>
    </w:p>
    <w:p w:rsidR="00CA6D7C" w:rsidRPr="00953AE0" w:rsidRDefault="00CA6D7C" w:rsidP="00953AE0">
      <w:pPr>
        <w:numPr>
          <w:ilvl w:val="0"/>
          <w:numId w:val="27"/>
        </w:numPr>
        <w:ind w:left="567" w:hanging="567"/>
        <w:contextualSpacing/>
        <w:jc w:val="both"/>
        <w:rPr>
          <w:rFonts w:ascii="Calibri" w:hAnsi="Calibri" w:cs="Calibri"/>
        </w:rPr>
      </w:pPr>
      <w:r w:rsidRPr="00953AE0">
        <w:rPr>
          <w:rFonts w:ascii="Calibri" w:hAnsi="Calibri" w:cs="Calibri"/>
        </w:rPr>
        <w:t>Wsparcie techniczne w okresie minimum 3-ch lat w wymiarze 10 godzin w miesiącu w zakresie rekonfiguracji, pomocy przy rozwiązywaniu błędów i problemów, administracji, tworzeniu sygnatur, raportowaniu. Dostępne na życzenie w</w:t>
      </w:r>
      <w:r>
        <w:rPr>
          <w:rFonts w:ascii="Calibri" w:hAnsi="Calibri" w:cs="Calibri"/>
        </w:rPr>
        <w:t> </w:t>
      </w:r>
      <w:r w:rsidRPr="00953AE0">
        <w:rPr>
          <w:rFonts w:ascii="Calibri" w:hAnsi="Calibri" w:cs="Calibri"/>
        </w:rPr>
        <w:t>siedzibie zamawiającego lub zdalnie.</w:t>
      </w:r>
    </w:p>
    <w:p w:rsidR="00CA6D7C" w:rsidRPr="001033C1" w:rsidRDefault="00CA6D7C" w:rsidP="000A1F06">
      <w:pPr>
        <w:ind w:left="567"/>
        <w:contextualSpacing/>
        <w:jc w:val="both"/>
        <w:rPr>
          <w:rFonts w:ascii="Calibri" w:hAnsi="Calibri" w:cs="Calibri"/>
          <w:highlight w:val="yellow"/>
        </w:rPr>
      </w:pPr>
    </w:p>
    <w:p w:rsidR="00CA6D7C" w:rsidRPr="001033C1" w:rsidRDefault="00CA6D7C" w:rsidP="00CB65BF">
      <w:pPr>
        <w:pStyle w:val="Akapitzlist2"/>
        <w:spacing w:line="240" w:lineRule="auto"/>
        <w:ind w:left="0" w:hanging="142"/>
        <w:rPr>
          <w:b/>
          <w:bCs/>
          <w:sz w:val="24"/>
          <w:szCs w:val="24"/>
          <w:u w:val="single"/>
        </w:rPr>
      </w:pPr>
      <w:r w:rsidRPr="001033C1">
        <w:rPr>
          <w:b/>
          <w:bCs/>
          <w:sz w:val="24"/>
          <w:szCs w:val="24"/>
          <w:u w:val="single"/>
        </w:rPr>
        <w:t xml:space="preserve">Specyfikacja czynności do pkt IV: </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switchy Ethernet - wykonanie rekonfiguracji  VLAN'ów stacji roboczych, stacji zarządzających, serwerów, stacji z licencjami, drukarek, DMZ-u usług publicznych wraz z wprowadzeniem routingu</w:t>
      </w:r>
      <w:r>
        <w:rPr>
          <w:rFonts w:ascii="Calibri" w:hAnsi="Calibri" w:cs="Calibri"/>
        </w:rPr>
        <w:t xml:space="preserve"> oraz reguł ACL pomiędzy nimi. </w:t>
      </w:r>
      <w:r w:rsidRPr="001033C1">
        <w:rPr>
          <w:rFonts w:ascii="Calibri" w:hAnsi="Calibri" w:cs="Calibri"/>
        </w:rPr>
        <w:t>Powyższe dotyczy wszystkich switchy HP w infrastrukturze sieciowej. Routing oraz reguły ACL zostaną zdefiniowane na wskazanym switchu core'owym.</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oraz tuning środowiska Vmware Vcenter, z jednoczesnym utworzeniem drugiego środowiska Vmware Vcenter HA na 4-ch serwerach blade pod nową konfigurację sieci LAN. Rekonfiguracja virtualnych switchy Vmware oraz rekonfiguracja Vmotion pod nową konfigurację sieci LAN. Testy weryfikacyjne mechanizmów Vmware HA.</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Konfiguracja routera Zywall - utworzenie DMZ usług publicznych dla wskazanych serwerów, które udostępniają w sieci publicznej zasoby lub wymagają połączenia z usługami zewnętrznymi w Internecie.</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połączeń sieciowych części serwerów i podpięcie ich do wskazanych VLAN-ów DMZ-tu oraz LAN-u.</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polis routingu oraz polis firewall-a na routerze Zywall.</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Konfiguracja połączeń VPN na routerze Zywall umożliwiających użytkownikom komunikację ze wskazanymi serwerami z</w:t>
      </w:r>
      <w:r>
        <w:rPr>
          <w:rFonts w:ascii="Calibri" w:hAnsi="Calibri" w:cs="Calibri"/>
        </w:rPr>
        <w:t> </w:t>
      </w:r>
      <w:r w:rsidRPr="001033C1">
        <w:rPr>
          <w:rFonts w:ascii="Calibri" w:hAnsi="Calibri" w:cs="Calibri"/>
        </w:rPr>
        <w:t>wykorzystaniem określonych przez Zamawiającego usługami.</w:t>
      </w:r>
    </w:p>
    <w:p w:rsidR="00CA6D7C" w:rsidRPr="001033C1" w:rsidRDefault="00CA6D7C" w:rsidP="0049675B">
      <w:pPr>
        <w:pStyle w:val="ListParagraph"/>
        <w:numPr>
          <w:ilvl w:val="0"/>
          <w:numId w:val="31"/>
        </w:numPr>
        <w:ind w:left="567" w:hanging="567"/>
        <w:jc w:val="both"/>
        <w:rPr>
          <w:rFonts w:ascii="Calibri" w:hAnsi="Calibri" w:cs="Calibri"/>
        </w:rPr>
      </w:pPr>
      <w:r w:rsidRPr="001033C1">
        <w:rPr>
          <w:rFonts w:ascii="Calibri" w:hAnsi="Calibri" w:cs="Calibri"/>
        </w:rPr>
        <w:t>Przekazanie klienta VPN wraz z profilami.</w:t>
      </w:r>
    </w:p>
    <w:p w:rsidR="00CA6D7C" w:rsidRPr="001033C1" w:rsidRDefault="00CA6D7C" w:rsidP="0049675B">
      <w:pPr>
        <w:pStyle w:val="ListParagraph"/>
        <w:numPr>
          <w:ilvl w:val="0"/>
          <w:numId w:val="31"/>
        </w:numPr>
        <w:ind w:left="567" w:hanging="567"/>
        <w:jc w:val="both"/>
        <w:rPr>
          <w:rFonts w:ascii="Calibri" w:hAnsi="Calibri" w:cs="Calibri"/>
        </w:rPr>
      </w:pPr>
      <w:r w:rsidRPr="001033C1">
        <w:rPr>
          <w:rFonts w:ascii="Calibri" w:hAnsi="Calibri" w:cs="Calibri"/>
        </w:rPr>
        <w:t>Konfiguracja usługi DNS na routerze Zywall i udostępnienie jej dla wewnętrznych serwerów DNS zaimplementowanych na kontrolerach domenowych. Rekonfiguracja wspomnianych usług DNS celem umożliwienia rozwiązywania nazw spoza obsługiwanych przez nie domen.</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izolowanego segmentu sieci – likwidacja dostępu do Internetu poprzez przełączanie fizyczne stacji pomiędzy sieciami.</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adresów IP interfejsów serwera proxy.</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Wpięcie serwera proxy do VLAN-u stacji roboczych. Rekonfiguracja domyślnego routingu na switchach HP (routujących VLAN'y) na interfejs wewnętrzny serwera proxy. Wprowadzenie dodatkowych stałych ścieżek routingu dla dostępu do usług świadczonych przez UMP. Modyfikacja reguł ACL na switchach HP zezwalająca na dostęp do wewnętrznego interfejsu serwera proxy z VLAN-u stacji roboczych oraz stacji zarządzających. Wszystkie stacje i serwery w sieci mają rozwiązywać nazwy tylko dzięki wewnętrznym usługom DNS pracujących na kontrolerach  domenowych.</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Sprawdzenie i modyfikacja polis routingu i firewall oraz NAT-owania zdefiniowanych na routerze Zywall pod kątem możliwości ich zawężenia celem uzyskania maksimum ochrony. Wprowadzenie blokowania niepożądanego ruchu.</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Rekonfiguracja macierzy 3PAR oraz tuning macierzy pod nową konfigurację sieci.</w:t>
      </w:r>
    </w:p>
    <w:p w:rsidR="00CA6D7C" w:rsidRPr="001033C1" w:rsidRDefault="00CA6D7C" w:rsidP="0049675B">
      <w:pPr>
        <w:pStyle w:val="ListParagraph"/>
        <w:numPr>
          <w:ilvl w:val="0"/>
          <w:numId w:val="31"/>
        </w:numPr>
        <w:spacing w:after="200" w:line="276" w:lineRule="auto"/>
        <w:ind w:left="567" w:hanging="567"/>
        <w:jc w:val="both"/>
        <w:rPr>
          <w:rFonts w:ascii="Calibri" w:hAnsi="Calibri" w:cs="Calibri"/>
        </w:rPr>
      </w:pPr>
      <w:r w:rsidRPr="001033C1">
        <w:rPr>
          <w:rFonts w:ascii="Calibri" w:hAnsi="Calibri" w:cs="Calibri"/>
        </w:rPr>
        <w:t>Testy, monitoring oraz wsparcie po wprowadzeniu zmian.</w:t>
      </w:r>
    </w:p>
    <w:p w:rsidR="00CA6D7C" w:rsidRPr="001033C1" w:rsidRDefault="00CA6D7C" w:rsidP="00CB65BF">
      <w:pPr>
        <w:pStyle w:val="Akapitzlist2"/>
        <w:spacing w:line="240" w:lineRule="auto"/>
        <w:ind w:left="0" w:hanging="142"/>
        <w:rPr>
          <w:rFonts w:cs="Times New Roman"/>
          <w:b/>
          <w:bCs/>
          <w:sz w:val="24"/>
          <w:szCs w:val="24"/>
          <w:u w:val="single"/>
        </w:rPr>
      </w:pPr>
    </w:p>
    <w:p w:rsidR="00CA6D7C" w:rsidRPr="001033C1" w:rsidRDefault="00CA6D7C" w:rsidP="00CB65BF">
      <w:pPr>
        <w:pStyle w:val="Akapitzlist2"/>
        <w:spacing w:line="240" w:lineRule="auto"/>
        <w:ind w:left="0" w:hanging="142"/>
        <w:rPr>
          <w:b/>
          <w:bCs/>
          <w:sz w:val="24"/>
          <w:szCs w:val="24"/>
          <w:u w:val="single"/>
        </w:rPr>
      </w:pPr>
      <w:r w:rsidRPr="001033C1">
        <w:rPr>
          <w:b/>
          <w:bCs/>
          <w:sz w:val="24"/>
          <w:szCs w:val="24"/>
          <w:u w:val="single"/>
        </w:rPr>
        <w:t xml:space="preserve">Specyfikacja czynności do pkt V: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Implementacja dostarczonych urządzeń w trybie HA.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Weryfikacja i migracja aktualnej konfiguracji routera Zywall.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Konfiguracja urządzeń w trybie HA. Konfiguracja VLAN na switchu HP pod tryb HA.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Migracja stref bezpieczeństwa, reguł NAT i polityk firewall.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Migracja konfiguracji VLAN.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Konfiguracja routingu oraz polis routingu.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Przygotowanie konfiguracji VPN na urządzeniach.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Ustawienie dodatkowych polityk bezpieczeństwa i monitorowania ruchu sieciowego dla modułów aplikacyjnych urządzenia dla stref LAN, DMZ, USERS, IPE, WZKB, UMP, INTERNET.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Testy weryfikacyjne zdefiniowanych polityk i ich tuning.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 xml:space="preserve">Konfiguracja funkcjonalności identyfikacji użytkowników w połączeniu z usługą Active Directory. </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funkcjonalności identyfikacji aplikacji.</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funkcjonalności identyfikacji zawartości.</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funkcjonalności DOS/DDOS.</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licencji aktualizacji automatycznych.</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protokołu SNMP.</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raportowania.</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Konfiguracja podziału pasma QOS.</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Zdefiniowanie użytkowników oraz przydzielenie ról administracyjnych.</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Likwidacja serwera pośredniczącego WinGate, rekonfiguracja stacji roboczych.</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Rekonfiguracja routingu na switchach HP w związku z likwidacją serwera Wingate.</w:t>
      </w:r>
    </w:p>
    <w:p w:rsidR="00CA6D7C" w:rsidRPr="001033C1" w:rsidRDefault="00CA6D7C" w:rsidP="0049675B">
      <w:pPr>
        <w:pStyle w:val="ListParagraph"/>
        <w:numPr>
          <w:ilvl w:val="0"/>
          <w:numId w:val="32"/>
        </w:numPr>
        <w:spacing w:after="200" w:line="276" w:lineRule="auto"/>
        <w:ind w:left="567" w:hanging="567"/>
        <w:jc w:val="both"/>
        <w:rPr>
          <w:rFonts w:ascii="Calibri" w:hAnsi="Calibri" w:cs="Calibri"/>
        </w:rPr>
      </w:pPr>
      <w:r w:rsidRPr="001033C1">
        <w:rPr>
          <w:rFonts w:ascii="Calibri" w:hAnsi="Calibri" w:cs="Calibri"/>
        </w:rPr>
        <w:t>Wykonanie dokumentacji powdrożeniowej sieci LAN/WAN.</w:t>
      </w:r>
    </w:p>
    <w:p w:rsidR="00CA6D7C" w:rsidRPr="001033C1" w:rsidRDefault="00CA6D7C" w:rsidP="00704430">
      <w:pPr>
        <w:pStyle w:val="Header"/>
        <w:tabs>
          <w:tab w:val="clear" w:pos="4536"/>
          <w:tab w:val="clear" w:pos="9072"/>
        </w:tabs>
        <w:ind w:hanging="426"/>
        <w:rPr>
          <w:rFonts w:ascii="Calibri" w:hAnsi="Calibri" w:cs="Calibri"/>
          <w:b/>
          <w:bCs/>
        </w:rPr>
      </w:pPr>
    </w:p>
    <w:p w:rsidR="00CA6D7C" w:rsidRPr="001033C1" w:rsidRDefault="00CA6D7C">
      <w:pPr>
        <w:rPr>
          <w:rFonts w:ascii="Calibri" w:hAnsi="Calibri" w:cs="Calibri"/>
          <w:b/>
          <w:bCs/>
        </w:rPr>
      </w:pPr>
      <w:r w:rsidRPr="001033C1">
        <w:rPr>
          <w:rFonts w:ascii="Calibri" w:hAnsi="Calibri" w:cs="Calibri"/>
          <w:b/>
          <w:bCs/>
        </w:rPr>
        <w:br w:type="page"/>
      </w:r>
    </w:p>
    <w:p w:rsidR="00CA6D7C" w:rsidRPr="001033C1" w:rsidRDefault="00CA6D7C" w:rsidP="00704430">
      <w:pPr>
        <w:pStyle w:val="Header"/>
        <w:tabs>
          <w:tab w:val="clear" w:pos="4536"/>
          <w:tab w:val="clear" w:pos="9072"/>
        </w:tabs>
        <w:ind w:hanging="426"/>
        <w:rPr>
          <w:rFonts w:ascii="Calibri" w:hAnsi="Calibri" w:cs="Calibri"/>
          <w:b/>
          <w:bCs/>
        </w:rPr>
      </w:pPr>
    </w:p>
    <w:p w:rsidR="00CA6D7C" w:rsidRPr="001033C1" w:rsidRDefault="00CA6D7C" w:rsidP="00BC33C5">
      <w:pPr>
        <w:pStyle w:val="Akapitzlist2"/>
        <w:spacing w:line="240" w:lineRule="auto"/>
        <w:ind w:left="0" w:hanging="142"/>
        <w:rPr>
          <w:b/>
          <w:bCs/>
          <w:sz w:val="24"/>
          <w:szCs w:val="24"/>
          <w:u w:val="single"/>
        </w:rPr>
      </w:pPr>
      <w:r w:rsidRPr="001033C1">
        <w:rPr>
          <w:b/>
          <w:bCs/>
          <w:sz w:val="24"/>
          <w:szCs w:val="24"/>
          <w:u w:val="single"/>
        </w:rPr>
        <w:t xml:space="preserve">Wymagania dodatkowe: </w:t>
      </w:r>
    </w:p>
    <w:p w:rsidR="00CA6D7C" w:rsidRPr="001033C1" w:rsidRDefault="00CA6D7C" w:rsidP="00650FB4">
      <w:pPr>
        <w:pStyle w:val="Header"/>
        <w:numPr>
          <w:ilvl w:val="0"/>
          <w:numId w:val="17"/>
        </w:numPr>
        <w:tabs>
          <w:tab w:val="clear" w:pos="720"/>
          <w:tab w:val="clear" w:pos="4536"/>
          <w:tab w:val="clear" w:pos="9072"/>
          <w:tab w:val="num" w:pos="567"/>
        </w:tabs>
        <w:ind w:left="567" w:hanging="567"/>
        <w:jc w:val="both"/>
        <w:rPr>
          <w:rFonts w:ascii="Calibri" w:hAnsi="Calibri" w:cs="Calibri"/>
        </w:rPr>
      </w:pPr>
      <w:r w:rsidRPr="001033C1">
        <w:rPr>
          <w:rFonts w:ascii="Calibri" w:hAnsi="Calibri" w:cs="Calibri"/>
        </w:rPr>
        <w:t>Dostarczony sprzęt jest fabrycznie nowy i oryginalnie zapakowany przez producenta bez śladów otwierania opakowania. Zamawiający zastrzega sobie prawo do wykonania ekspertyzy, czy dostarczony sprzęt jest sprzętem nowym i</w:t>
      </w:r>
      <w:r>
        <w:rPr>
          <w:rFonts w:ascii="Calibri" w:hAnsi="Calibri" w:cs="Calibri"/>
        </w:rPr>
        <w:t> </w:t>
      </w:r>
      <w:r w:rsidRPr="001033C1">
        <w:rPr>
          <w:rFonts w:ascii="Calibri" w:hAnsi="Calibri" w:cs="Calibri"/>
        </w:rPr>
        <w:t>nieużywanym na koszt Wykonawcy. Dotyczy pkt I i II.</w:t>
      </w:r>
    </w:p>
    <w:p w:rsidR="00CA6D7C" w:rsidRPr="001033C1" w:rsidRDefault="00CA6D7C" w:rsidP="008D1767">
      <w:pPr>
        <w:pStyle w:val="Akapitzlist2"/>
        <w:numPr>
          <w:ilvl w:val="0"/>
          <w:numId w:val="17"/>
        </w:numPr>
        <w:tabs>
          <w:tab w:val="clear" w:pos="720"/>
          <w:tab w:val="num" w:pos="567"/>
        </w:tabs>
        <w:spacing w:after="0" w:line="240" w:lineRule="auto"/>
        <w:ind w:left="567" w:hanging="567"/>
        <w:contextualSpacing w:val="0"/>
        <w:jc w:val="both"/>
        <w:rPr>
          <w:sz w:val="20"/>
          <w:szCs w:val="20"/>
        </w:rPr>
      </w:pPr>
      <w:r w:rsidRPr="001033C1">
        <w:rPr>
          <w:sz w:val="20"/>
          <w:szCs w:val="20"/>
        </w:rPr>
        <w:t>Oferent jest zobowiązany złożyć pełną specyfikację oferowanego sprzętu. Specyfikacja techniczna może być złożona w</w:t>
      </w:r>
      <w:r>
        <w:rPr>
          <w:rFonts w:cs="Times New Roman"/>
          <w:sz w:val="20"/>
          <w:szCs w:val="20"/>
        </w:rPr>
        <w:t> </w:t>
      </w:r>
      <w:r w:rsidRPr="001033C1">
        <w:rPr>
          <w:sz w:val="20"/>
          <w:szCs w:val="20"/>
        </w:rPr>
        <w:t>języku angielskim. Dotyczy pkt I i II.</w:t>
      </w:r>
    </w:p>
    <w:p w:rsidR="00CA6D7C" w:rsidRPr="001033C1" w:rsidRDefault="00CA6D7C" w:rsidP="0049675B">
      <w:pPr>
        <w:pStyle w:val="ListParagraph"/>
        <w:numPr>
          <w:ilvl w:val="0"/>
          <w:numId w:val="17"/>
        </w:numPr>
        <w:tabs>
          <w:tab w:val="clear" w:pos="720"/>
          <w:tab w:val="num" w:pos="567"/>
        </w:tabs>
        <w:spacing w:after="200"/>
        <w:ind w:left="567" w:hanging="567"/>
        <w:jc w:val="both"/>
        <w:rPr>
          <w:rFonts w:ascii="Calibri" w:hAnsi="Calibri" w:cs="Calibri"/>
        </w:rPr>
      </w:pPr>
      <w:r w:rsidRPr="001033C1">
        <w:rPr>
          <w:rFonts w:ascii="Calibri" w:hAnsi="Calibri" w:cs="Calibri"/>
        </w:rPr>
        <w:t>Na etapie składania ofert Zamawiający wymaga oświadczenia producenta sprzętu</w:t>
      </w:r>
      <w:r w:rsidRPr="001033C1">
        <w:rPr>
          <w:rFonts w:ascii="Calibri" w:hAnsi="Calibri" w:cs="Calibri"/>
          <w:b/>
          <w:bCs/>
        </w:rPr>
        <w:t xml:space="preserve"> </w:t>
      </w:r>
      <w:r w:rsidRPr="001033C1">
        <w:rPr>
          <w:rFonts w:ascii="Calibri" w:hAnsi="Calibri" w:cs="Calibri"/>
        </w:rPr>
        <w:t>potwierdzającego, że Oferent jest partnerem handlowym producenta i może w jego imieniu składać oferty oraz świadczyć usługi serwisowe. Dopuszcza się oświadczenie w języku angielskim. Dotyczy pkt I.</w:t>
      </w:r>
    </w:p>
    <w:p w:rsidR="00CA6D7C" w:rsidRPr="001033C1" w:rsidRDefault="00CA6D7C" w:rsidP="0049675B">
      <w:pPr>
        <w:pStyle w:val="ListParagraph"/>
        <w:numPr>
          <w:ilvl w:val="0"/>
          <w:numId w:val="17"/>
        </w:numPr>
        <w:tabs>
          <w:tab w:val="clear" w:pos="720"/>
          <w:tab w:val="num" w:pos="567"/>
        </w:tabs>
        <w:spacing w:after="200"/>
        <w:ind w:left="567" w:hanging="567"/>
        <w:jc w:val="both"/>
        <w:rPr>
          <w:rFonts w:ascii="Calibri" w:hAnsi="Calibri" w:cs="Calibri"/>
        </w:rPr>
      </w:pPr>
      <w:r w:rsidRPr="001033C1">
        <w:rPr>
          <w:rFonts w:ascii="Calibri" w:hAnsi="Calibri" w:cs="Calibri"/>
        </w:rPr>
        <w:t>Oferent zobowiązany jest przedstawić link do strony internetowej producenta urządzenia zawierającej listę rozpoznawanych aplikacji. Dotyczy pkt I.</w:t>
      </w:r>
    </w:p>
    <w:p w:rsidR="00CA6D7C" w:rsidRPr="001033C1" w:rsidRDefault="00CA6D7C" w:rsidP="0049675B">
      <w:pPr>
        <w:pStyle w:val="ListParagraph"/>
        <w:numPr>
          <w:ilvl w:val="0"/>
          <w:numId w:val="17"/>
        </w:numPr>
        <w:tabs>
          <w:tab w:val="clear" w:pos="720"/>
          <w:tab w:val="num" w:pos="567"/>
        </w:tabs>
        <w:spacing w:after="200"/>
        <w:ind w:left="567" w:hanging="567"/>
        <w:jc w:val="both"/>
        <w:rPr>
          <w:rFonts w:ascii="Calibri" w:hAnsi="Calibri" w:cs="Calibri"/>
        </w:rPr>
      </w:pPr>
      <w:r w:rsidRPr="001033C1">
        <w:rPr>
          <w:rFonts w:ascii="Calibri" w:hAnsi="Calibri" w:cs="Calibri"/>
        </w:rPr>
        <w:t>Zamawiający dopuszcza rozliczenie częściowe w zakresie realizacji pkt II i III.</w:t>
      </w:r>
    </w:p>
    <w:p w:rsidR="00CA6D7C" w:rsidRPr="00BC7282" w:rsidRDefault="00CA6D7C" w:rsidP="00BC7282">
      <w:pPr>
        <w:pStyle w:val="ListParagraph"/>
        <w:numPr>
          <w:ilvl w:val="0"/>
          <w:numId w:val="17"/>
        </w:numPr>
        <w:tabs>
          <w:tab w:val="clear" w:pos="720"/>
          <w:tab w:val="num" w:pos="567"/>
        </w:tabs>
        <w:spacing w:after="200"/>
        <w:ind w:left="567" w:hanging="567"/>
        <w:jc w:val="both"/>
        <w:rPr>
          <w:rFonts w:ascii="Calibri" w:hAnsi="Calibri" w:cs="Calibri"/>
        </w:rPr>
      </w:pPr>
      <w:r w:rsidRPr="001033C1">
        <w:rPr>
          <w:rFonts w:ascii="Calibri" w:hAnsi="Calibri" w:cs="Calibri"/>
        </w:rPr>
        <w:t xml:space="preserve">Certyfikat </w:t>
      </w:r>
      <w:r>
        <w:rPr>
          <w:rFonts w:ascii="Calibri" w:hAnsi="Calibri" w:cs="Calibri"/>
        </w:rPr>
        <w:t xml:space="preserve">bezpieczeństwa CE </w:t>
      </w:r>
      <w:r w:rsidRPr="001033C1">
        <w:rPr>
          <w:rFonts w:ascii="Calibri" w:hAnsi="Calibri" w:cs="Calibri"/>
        </w:rPr>
        <w:t>w języku polskim lub angielskim</w:t>
      </w:r>
      <w:r>
        <w:rPr>
          <w:rFonts w:ascii="Calibri" w:hAnsi="Calibri" w:cs="Calibri"/>
        </w:rPr>
        <w:t xml:space="preserve"> dla </w:t>
      </w:r>
      <w:r w:rsidRPr="00BC7282">
        <w:rPr>
          <w:rFonts w:ascii="Calibri" w:hAnsi="Calibri" w:cs="Calibri"/>
        </w:rPr>
        <w:t>oferowanego sprzętu lub równoważny. Dotyczy pkt I</w:t>
      </w:r>
    </w:p>
    <w:p w:rsidR="00CA6D7C" w:rsidRDefault="00CA6D7C">
      <w:pPr>
        <w:rPr>
          <w:rFonts w:ascii="Calibri" w:hAnsi="Calibri" w:cs="Calibri"/>
        </w:rPr>
      </w:pPr>
    </w:p>
    <w:p w:rsidR="00CA6D7C" w:rsidRDefault="00CA6D7C" w:rsidP="000757E3">
      <w:pPr>
        <w:spacing w:after="200"/>
        <w:jc w:val="both"/>
        <w:rPr>
          <w:rFonts w:ascii="Calibri" w:hAnsi="Calibri" w:cs="Calibri"/>
        </w:rPr>
        <w:sectPr w:rsidR="00CA6D7C" w:rsidSect="00DD4D51">
          <w:pgSz w:w="11906" w:h="16838"/>
          <w:pgMar w:top="720" w:right="720" w:bottom="720" w:left="851" w:header="708" w:footer="708" w:gutter="0"/>
          <w:cols w:space="708"/>
          <w:docGrid w:linePitch="360"/>
        </w:sectPr>
      </w:pPr>
    </w:p>
    <w:p w:rsidR="00CA6D7C" w:rsidRDefault="00CA6D7C" w:rsidP="00704430">
      <w:pPr>
        <w:pStyle w:val="Header"/>
        <w:tabs>
          <w:tab w:val="clear" w:pos="4536"/>
          <w:tab w:val="clear" w:pos="9072"/>
        </w:tabs>
        <w:ind w:hanging="426"/>
        <w:rPr>
          <w:rFonts w:ascii="Calibri" w:hAnsi="Calibri" w:cs="Calibri"/>
          <w:b/>
          <w:bCs/>
        </w:rPr>
      </w:pPr>
      <w:r>
        <w:rPr>
          <w:rFonts w:ascii="Calibri" w:hAnsi="Calibri" w:cs="Calibri"/>
          <w:b/>
          <w:bCs/>
        </w:rPr>
        <w:t>Załącznik:</w:t>
      </w:r>
    </w:p>
    <w:p w:rsidR="00CA6D7C" w:rsidRDefault="00CA6D7C" w:rsidP="00855C8A">
      <w:pPr>
        <w:pStyle w:val="Header"/>
        <w:tabs>
          <w:tab w:val="clear" w:pos="4536"/>
          <w:tab w:val="clear" w:pos="9072"/>
        </w:tabs>
        <w:ind w:hanging="426"/>
        <w:jc w:val="center"/>
        <w:rPr>
          <w:rFonts w:ascii="Calibri" w:hAnsi="Calibri" w:cs="Calibri"/>
          <w:b/>
          <w:bCs/>
        </w:rPr>
      </w:pPr>
      <w:r>
        <w:rPr>
          <w:rFonts w:ascii="Calibri" w:hAnsi="Calibri" w:cs="Calibri"/>
          <w:b/>
          <w:bCs/>
        </w:rPr>
        <w:t>Lista wymaganych minimalnych aplikacji wykrywanych przez urządzenia z pkt I:</w:t>
      </w:r>
    </w:p>
    <w:p w:rsidR="00CA6D7C" w:rsidRDefault="00CA6D7C" w:rsidP="00855C8A">
      <w:pPr>
        <w:pStyle w:val="Header"/>
        <w:tabs>
          <w:tab w:val="clear" w:pos="4536"/>
          <w:tab w:val="clear" w:pos="9072"/>
        </w:tabs>
        <w:ind w:hanging="426"/>
        <w:jc w:val="center"/>
        <w:rPr>
          <w:rFonts w:ascii="Calibri" w:hAnsi="Calibri" w:cs="Calibri"/>
          <w:b/>
          <w:bCs/>
        </w:rPr>
      </w:pPr>
    </w:p>
    <w:p w:rsidR="00CA6D7C" w:rsidRDefault="00CA6D7C" w:rsidP="00855C8A">
      <w:pPr>
        <w:pStyle w:val="Header"/>
        <w:tabs>
          <w:tab w:val="clear" w:pos="4536"/>
          <w:tab w:val="clear" w:pos="9072"/>
        </w:tabs>
        <w:ind w:hanging="426"/>
        <w:jc w:val="center"/>
        <w:rPr>
          <w:rFonts w:ascii="Calibri" w:hAnsi="Calibri" w:cs="Calibri"/>
          <w:b/>
          <w:bCs/>
        </w:rPr>
      </w:pPr>
    </w:p>
    <w:p w:rsidR="00CA6D7C" w:rsidRDefault="00CA6D7C" w:rsidP="00704430">
      <w:pPr>
        <w:pStyle w:val="Header"/>
        <w:tabs>
          <w:tab w:val="clear" w:pos="4536"/>
          <w:tab w:val="clear" w:pos="9072"/>
        </w:tabs>
        <w:ind w:hanging="426"/>
        <w:rPr>
          <w:rFonts w:ascii="Calibri" w:hAnsi="Calibri" w:cs="Calibri"/>
          <w:b/>
          <w:bCs/>
        </w:rPr>
      </w:pPr>
    </w:p>
    <w:p w:rsidR="00CA6D7C" w:rsidRDefault="00CA6D7C" w:rsidP="009306C9">
      <w:pPr>
        <w:rPr>
          <w:rFonts w:ascii="Arial" w:hAnsi="Arial" w:cs="Arial"/>
          <w:color w:val="000000"/>
          <w:sz w:val="22"/>
          <w:szCs w:val="22"/>
        </w:rPr>
        <w:sectPr w:rsidR="00CA6D7C" w:rsidSect="009306C9">
          <w:pgSz w:w="11906" w:h="16838"/>
          <w:pgMar w:top="720" w:right="720" w:bottom="720" w:left="851" w:header="708" w:footer="708" w:gutter="0"/>
          <w:cols w:space="708"/>
          <w:docGrid w:linePitch="360"/>
        </w:sectPr>
      </w:pPr>
      <w:bookmarkStart w:id="0" w:name="RANGE!A1:A205"/>
      <w:bookmarkEnd w:id="0"/>
    </w:p>
    <w:tbl>
      <w:tblPr>
        <w:tblW w:w="3280" w:type="dxa"/>
        <w:tblInd w:w="55" w:type="dxa"/>
        <w:tblCellMar>
          <w:left w:w="70" w:type="dxa"/>
          <w:right w:w="70" w:type="dxa"/>
        </w:tblCellMar>
        <w:tblLook w:val="00A0"/>
      </w:tblPr>
      <w:tblGrid>
        <w:gridCol w:w="3280"/>
      </w:tblGrid>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Pr>
                <w:rFonts w:ascii="Arial" w:hAnsi="Arial" w:cs="Arial"/>
                <w:color w:val="000000"/>
                <w:sz w:val="22"/>
                <w:szCs w:val="22"/>
              </w:rPr>
              <w:t>k</w:t>
            </w:r>
            <w:r w:rsidRPr="009306C9">
              <w:rPr>
                <w:rFonts w:ascii="Arial" w:hAnsi="Arial" w:cs="Arial"/>
                <w:color w:val="000000"/>
                <w:sz w:val="22"/>
                <w:szCs w:val="22"/>
              </w:rPr>
              <w:t>erberos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ldap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mssql-mon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mysql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oracle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postgres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arcgis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liveperson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pan-db-cloud</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soap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windows-azure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zendesk</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bacnet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echo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github-base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lpd</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ms-sms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ms-spynet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new-relic</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rmcp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symantec-endpoint-manager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syslog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time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vmware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babylon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google-calendar-base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google-docs-base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prezi</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adobe-update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apple-update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avast-av-update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dell-update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eset-update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firefox-update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flexnet-installanywhere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flexnet-publisher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hp-update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java-update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kaspersky</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ms-product-activation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symantec-av-update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ms-ds-smb</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gmail-base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hotmail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icloud-mail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imap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lotus-notes-base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outlook-web-online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pop3</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smtp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yahoo-mail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chatango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facebook-chat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gadu-gadu</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jabber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msn-base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webex-base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clearspace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confluence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sharepoint-base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badoo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facebook-base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facebook-social-plugin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google-plus-base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linkedin-base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mail.ru-base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myspace-base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ning-base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odnoklassniki-base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pinterest-base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quora</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reddit-base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stumbleupon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tumblr-base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twitter-base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twitter-posting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vine-base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vkontakte-base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facetime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sip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skype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skype-probe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viber-base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disqus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vbulletin-posting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akamai-client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bittorrent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boxnet-base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docstoc-base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dropbox</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droplr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ftp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google-cloud-storage-base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google-drive-web</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issuu-base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mediafire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putlocker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rapidshare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scribd-base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skydrive-base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slideshare-base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sourceforge-base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sourceforge-file-transfer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webdav</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wetransfer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adobe-flash-socketpolicy-server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apple-appstore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apple-maps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apple-push-notifications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flash</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google-analytics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google-app-engine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google-cache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google-earth</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google-maps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google-play</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google-safebrowsing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google-toolbar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google-translate-auto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google-translate-base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google-translate-manual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icloud-base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itunes-appstore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nokia-here-maps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opera-mini</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rss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silverlight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traceroute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waze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weather-desktop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web-browsing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websocket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windows-push-notifications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amazon-cloud-player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deezer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http-audio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itunes-base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last.fm</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rhapsody</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shoutcast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soundcloud-base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spotify</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all-slots-casino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apple-game-center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bet365</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xbox-live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brightcove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dailymotion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facebook-video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flickr-base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google-picasa</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google-video-base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http-video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imgur-base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imgur-uploading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instagram</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limelight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nbc-video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ooyala</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photobucket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rtmp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rtmpe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rtmpt</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rtp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twitch</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ustream</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vimeo-base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youtube-base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ciscovpn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ike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ipsec-esp-udp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mobility-xe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ssh</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ssl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dhcp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dns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gtp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llmnr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msrpc</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netbios-dg</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netbios-ns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netbios-ss</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ntp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ocsp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portmapper</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quic</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snmp-base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snmp-trap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ssdp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stun</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t.120</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icmp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ipv6</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http-proxy</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citrix</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ms-rdp</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pcanywhere-base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teamviewer-base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teamviewer-remote-control</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vnc-base</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teredo</w:t>
            </w:r>
          </w:p>
        </w:tc>
      </w:tr>
      <w:tr w:rsidR="00CA6D7C" w:rsidRPr="009306C9">
        <w:trPr>
          <w:trHeight w:val="285"/>
        </w:trPr>
        <w:tc>
          <w:tcPr>
            <w:tcW w:w="3280" w:type="dxa"/>
            <w:tcBorders>
              <w:top w:val="nil"/>
              <w:left w:val="nil"/>
              <w:bottom w:val="nil"/>
              <w:right w:val="nil"/>
            </w:tcBorders>
            <w:noWrap/>
            <w:vAlign w:val="bottom"/>
          </w:tcPr>
          <w:p w:rsidR="00CA6D7C" w:rsidRPr="009306C9" w:rsidRDefault="00CA6D7C" w:rsidP="009306C9">
            <w:pPr>
              <w:rPr>
                <w:rFonts w:ascii="Arial" w:hAnsi="Arial" w:cs="Arial"/>
                <w:color w:val="000000"/>
                <w:sz w:val="22"/>
                <w:szCs w:val="22"/>
              </w:rPr>
            </w:pPr>
            <w:r w:rsidRPr="009306C9">
              <w:rPr>
                <w:rFonts w:ascii="Arial" w:hAnsi="Arial" w:cs="Arial"/>
                <w:color w:val="000000"/>
                <w:sz w:val="22"/>
                <w:szCs w:val="22"/>
              </w:rPr>
              <w:t>insufficient-data</w:t>
            </w:r>
          </w:p>
        </w:tc>
      </w:tr>
    </w:tbl>
    <w:p w:rsidR="00CA6D7C" w:rsidRDefault="00CA6D7C" w:rsidP="00704430">
      <w:pPr>
        <w:pStyle w:val="Header"/>
        <w:tabs>
          <w:tab w:val="clear" w:pos="4536"/>
          <w:tab w:val="clear" w:pos="9072"/>
        </w:tabs>
        <w:ind w:hanging="426"/>
        <w:rPr>
          <w:rFonts w:ascii="Calibri" w:hAnsi="Calibri" w:cs="Calibri"/>
          <w:b/>
          <w:bCs/>
        </w:rPr>
        <w:sectPr w:rsidR="00CA6D7C" w:rsidSect="009306C9">
          <w:type w:val="continuous"/>
          <w:pgSz w:w="11906" w:h="16838"/>
          <w:pgMar w:top="720" w:right="720" w:bottom="720" w:left="851" w:header="708" w:footer="708" w:gutter="0"/>
          <w:cols w:num="3" w:space="708"/>
          <w:docGrid w:linePitch="360"/>
        </w:sectPr>
      </w:pPr>
    </w:p>
    <w:p w:rsidR="00CA6D7C" w:rsidRDefault="00CA6D7C" w:rsidP="00704430">
      <w:pPr>
        <w:pStyle w:val="Header"/>
        <w:tabs>
          <w:tab w:val="clear" w:pos="4536"/>
          <w:tab w:val="clear" w:pos="9072"/>
        </w:tabs>
        <w:ind w:hanging="426"/>
        <w:rPr>
          <w:rFonts w:ascii="Calibri" w:hAnsi="Calibri" w:cs="Calibri"/>
          <w:b/>
          <w:bCs/>
        </w:rPr>
      </w:pPr>
    </w:p>
    <w:p w:rsidR="00CA6D7C" w:rsidRDefault="00CA6D7C" w:rsidP="00704430">
      <w:pPr>
        <w:pStyle w:val="Header"/>
        <w:tabs>
          <w:tab w:val="clear" w:pos="4536"/>
          <w:tab w:val="clear" w:pos="9072"/>
        </w:tabs>
        <w:ind w:hanging="426"/>
        <w:rPr>
          <w:rFonts w:ascii="Calibri" w:hAnsi="Calibri" w:cs="Calibri"/>
          <w:b/>
          <w:bCs/>
        </w:rPr>
      </w:pPr>
    </w:p>
    <w:sectPr w:rsidR="00CA6D7C" w:rsidSect="009306C9">
      <w:type w:val="continuous"/>
      <w:pgSz w:w="11906" w:h="16838"/>
      <w:pgMar w:top="720" w:right="720" w:bottom="72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3027"/>
    <w:multiLevelType w:val="hybridMultilevel"/>
    <w:tmpl w:val="F860212A"/>
    <w:lvl w:ilvl="0" w:tplc="0415000F">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5C210A2"/>
    <w:multiLevelType w:val="hybridMultilevel"/>
    <w:tmpl w:val="ABA21948"/>
    <w:lvl w:ilvl="0" w:tplc="04150001">
      <w:start w:val="1"/>
      <w:numFmt w:val="bullet"/>
      <w:lvlText w:val=""/>
      <w:lvlJc w:val="left"/>
      <w:pPr>
        <w:ind w:left="1144" w:hanging="360"/>
      </w:pPr>
      <w:rPr>
        <w:rFonts w:ascii="Symbol" w:hAnsi="Symbol" w:hint="default"/>
      </w:rPr>
    </w:lvl>
    <w:lvl w:ilvl="1" w:tplc="04150003" w:tentative="1">
      <w:start w:val="1"/>
      <w:numFmt w:val="bullet"/>
      <w:lvlText w:val="o"/>
      <w:lvlJc w:val="left"/>
      <w:pPr>
        <w:ind w:left="1864" w:hanging="360"/>
      </w:pPr>
      <w:rPr>
        <w:rFonts w:ascii="Courier New" w:hAnsi="Courier New" w:hint="default"/>
      </w:rPr>
    </w:lvl>
    <w:lvl w:ilvl="2" w:tplc="04150005" w:tentative="1">
      <w:start w:val="1"/>
      <w:numFmt w:val="bullet"/>
      <w:lvlText w:val=""/>
      <w:lvlJc w:val="left"/>
      <w:pPr>
        <w:ind w:left="2584" w:hanging="360"/>
      </w:pPr>
      <w:rPr>
        <w:rFonts w:ascii="Wingdings" w:hAnsi="Wingdings" w:hint="default"/>
      </w:rPr>
    </w:lvl>
    <w:lvl w:ilvl="3" w:tplc="04150001" w:tentative="1">
      <w:start w:val="1"/>
      <w:numFmt w:val="bullet"/>
      <w:lvlText w:val=""/>
      <w:lvlJc w:val="left"/>
      <w:pPr>
        <w:ind w:left="3304" w:hanging="360"/>
      </w:pPr>
      <w:rPr>
        <w:rFonts w:ascii="Symbol" w:hAnsi="Symbol" w:hint="default"/>
      </w:rPr>
    </w:lvl>
    <w:lvl w:ilvl="4" w:tplc="04150003" w:tentative="1">
      <w:start w:val="1"/>
      <w:numFmt w:val="bullet"/>
      <w:lvlText w:val="o"/>
      <w:lvlJc w:val="left"/>
      <w:pPr>
        <w:ind w:left="4024" w:hanging="360"/>
      </w:pPr>
      <w:rPr>
        <w:rFonts w:ascii="Courier New" w:hAnsi="Courier New" w:hint="default"/>
      </w:rPr>
    </w:lvl>
    <w:lvl w:ilvl="5" w:tplc="04150005" w:tentative="1">
      <w:start w:val="1"/>
      <w:numFmt w:val="bullet"/>
      <w:lvlText w:val=""/>
      <w:lvlJc w:val="left"/>
      <w:pPr>
        <w:ind w:left="4744" w:hanging="360"/>
      </w:pPr>
      <w:rPr>
        <w:rFonts w:ascii="Wingdings" w:hAnsi="Wingdings" w:hint="default"/>
      </w:rPr>
    </w:lvl>
    <w:lvl w:ilvl="6" w:tplc="04150001" w:tentative="1">
      <w:start w:val="1"/>
      <w:numFmt w:val="bullet"/>
      <w:lvlText w:val=""/>
      <w:lvlJc w:val="left"/>
      <w:pPr>
        <w:ind w:left="5464" w:hanging="360"/>
      </w:pPr>
      <w:rPr>
        <w:rFonts w:ascii="Symbol" w:hAnsi="Symbol" w:hint="default"/>
      </w:rPr>
    </w:lvl>
    <w:lvl w:ilvl="7" w:tplc="04150003" w:tentative="1">
      <w:start w:val="1"/>
      <w:numFmt w:val="bullet"/>
      <w:lvlText w:val="o"/>
      <w:lvlJc w:val="left"/>
      <w:pPr>
        <w:ind w:left="6184" w:hanging="360"/>
      </w:pPr>
      <w:rPr>
        <w:rFonts w:ascii="Courier New" w:hAnsi="Courier New" w:hint="default"/>
      </w:rPr>
    </w:lvl>
    <w:lvl w:ilvl="8" w:tplc="04150005" w:tentative="1">
      <w:start w:val="1"/>
      <w:numFmt w:val="bullet"/>
      <w:lvlText w:val=""/>
      <w:lvlJc w:val="left"/>
      <w:pPr>
        <w:ind w:left="6904" w:hanging="360"/>
      </w:pPr>
      <w:rPr>
        <w:rFonts w:ascii="Wingdings" w:hAnsi="Wingdings" w:hint="default"/>
      </w:rPr>
    </w:lvl>
  </w:abstractNum>
  <w:abstractNum w:abstractNumId="2">
    <w:nsid w:val="09F81873"/>
    <w:multiLevelType w:val="hybridMultilevel"/>
    <w:tmpl w:val="34004B3A"/>
    <w:lvl w:ilvl="0" w:tplc="0415000F">
      <w:start w:val="1"/>
      <w:numFmt w:val="decimal"/>
      <w:lvlText w:val="%1."/>
      <w:lvlJc w:val="left"/>
      <w:pPr>
        <w:ind w:left="860" w:hanging="360"/>
      </w:pPr>
      <w:rPr>
        <w:rFonts w:cs="Times New Roman"/>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
    <w:nsid w:val="0D11034D"/>
    <w:multiLevelType w:val="hybridMultilevel"/>
    <w:tmpl w:val="92E03E98"/>
    <w:lvl w:ilvl="0" w:tplc="04150001">
      <w:start w:val="1"/>
      <w:numFmt w:val="bullet"/>
      <w:lvlText w:val=""/>
      <w:lvlJc w:val="left"/>
      <w:pPr>
        <w:tabs>
          <w:tab w:val="num" w:pos="720"/>
        </w:tabs>
        <w:ind w:left="720" w:hanging="360"/>
      </w:pPr>
      <w:rPr>
        <w:rFonts w:ascii="Symbol" w:hAnsi="Symbol"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F684D6C"/>
    <w:multiLevelType w:val="hybridMultilevel"/>
    <w:tmpl w:val="E6C4A994"/>
    <w:lvl w:ilvl="0" w:tplc="EEA277F2">
      <w:start w:val="1"/>
      <w:numFmt w:val="decimal"/>
      <w:lvlText w:val="%1"/>
      <w:lvlJc w:val="left"/>
      <w:pPr>
        <w:ind w:left="754" w:hanging="360"/>
      </w:pPr>
      <w:rPr>
        <w:rFonts w:cs="Times New Roman" w:hint="default"/>
      </w:rPr>
    </w:lvl>
    <w:lvl w:ilvl="1" w:tplc="04150019" w:tentative="1">
      <w:start w:val="1"/>
      <w:numFmt w:val="lowerLetter"/>
      <w:lvlText w:val="%2."/>
      <w:lvlJc w:val="left"/>
      <w:pPr>
        <w:ind w:left="1474" w:hanging="360"/>
      </w:pPr>
      <w:rPr>
        <w:rFonts w:cs="Times New Roman"/>
      </w:rPr>
    </w:lvl>
    <w:lvl w:ilvl="2" w:tplc="0415001B" w:tentative="1">
      <w:start w:val="1"/>
      <w:numFmt w:val="lowerRoman"/>
      <w:lvlText w:val="%3."/>
      <w:lvlJc w:val="right"/>
      <w:pPr>
        <w:ind w:left="2194" w:hanging="180"/>
      </w:pPr>
      <w:rPr>
        <w:rFonts w:cs="Times New Roman"/>
      </w:rPr>
    </w:lvl>
    <w:lvl w:ilvl="3" w:tplc="0415000F" w:tentative="1">
      <w:start w:val="1"/>
      <w:numFmt w:val="decimal"/>
      <w:lvlText w:val="%4."/>
      <w:lvlJc w:val="left"/>
      <w:pPr>
        <w:ind w:left="2914" w:hanging="360"/>
      </w:pPr>
      <w:rPr>
        <w:rFonts w:cs="Times New Roman"/>
      </w:rPr>
    </w:lvl>
    <w:lvl w:ilvl="4" w:tplc="04150019" w:tentative="1">
      <w:start w:val="1"/>
      <w:numFmt w:val="lowerLetter"/>
      <w:lvlText w:val="%5."/>
      <w:lvlJc w:val="left"/>
      <w:pPr>
        <w:ind w:left="3634" w:hanging="360"/>
      </w:pPr>
      <w:rPr>
        <w:rFonts w:cs="Times New Roman"/>
      </w:rPr>
    </w:lvl>
    <w:lvl w:ilvl="5" w:tplc="0415001B" w:tentative="1">
      <w:start w:val="1"/>
      <w:numFmt w:val="lowerRoman"/>
      <w:lvlText w:val="%6."/>
      <w:lvlJc w:val="right"/>
      <w:pPr>
        <w:ind w:left="4354" w:hanging="180"/>
      </w:pPr>
      <w:rPr>
        <w:rFonts w:cs="Times New Roman"/>
      </w:rPr>
    </w:lvl>
    <w:lvl w:ilvl="6" w:tplc="0415000F" w:tentative="1">
      <w:start w:val="1"/>
      <w:numFmt w:val="decimal"/>
      <w:lvlText w:val="%7."/>
      <w:lvlJc w:val="left"/>
      <w:pPr>
        <w:ind w:left="5074" w:hanging="360"/>
      </w:pPr>
      <w:rPr>
        <w:rFonts w:cs="Times New Roman"/>
      </w:rPr>
    </w:lvl>
    <w:lvl w:ilvl="7" w:tplc="04150019" w:tentative="1">
      <w:start w:val="1"/>
      <w:numFmt w:val="lowerLetter"/>
      <w:lvlText w:val="%8."/>
      <w:lvlJc w:val="left"/>
      <w:pPr>
        <w:ind w:left="5794" w:hanging="360"/>
      </w:pPr>
      <w:rPr>
        <w:rFonts w:cs="Times New Roman"/>
      </w:rPr>
    </w:lvl>
    <w:lvl w:ilvl="8" w:tplc="0415001B" w:tentative="1">
      <w:start w:val="1"/>
      <w:numFmt w:val="lowerRoman"/>
      <w:lvlText w:val="%9."/>
      <w:lvlJc w:val="right"/>
      <w:pPr>
        <w:ind w:left="6514" w:hanging="180"/>
      </w:pPr>
      <w:rPr>
        <w:rFonts w:cs="Times New Roman"/>
      </w:rPr>
    </w:lvl>
  </w:abstractNum>
  <w:abstractNum w:abstractNumId="5">
    <w:nsid w:val="13EF649F"/>
    <w:multiLevelType w:val="hybridMultilevel"/>
    <w:tmpl w:val="045A522A"/>
    <w:lvl w:ilvl="0" w:tplc="0415000F">
      <w:start w:val="1"/>
      <w:numFmt w:val="decimal"/>
      <w:lvlText w:val="%1."/>
      <w:lvlJc w:val="left"/>
      <w:pPr>
        <w:ind w:left="754" w:hanging="360"/>
      </w:pPr>
      <w:rPr>
        <w:rFonts w:cs="Times New Roman"/>
      </w:rPr>
    </w:lvl>
    <w:lvl w:ilvl="1" w:tplc="04150019" w:tentative="1">
      <w:start w:val="1"/>
      <w:numFmt w:val="lowerLetter"/>
      <w:lvlText w:val="%2."/>
      <w:lvlJc w:val="left"/>
      <w:pPr>
        <w:ind w:left="1474" w:hanging="360"/>
      </w:pPr>
      <w:rPr>
        <w:rFonts w:cs="Times New Roman"/>
      </w:rPr>
    </w:lvl>
    <w:lvl w:ilvl="2" w:tplc="0415001B" w:tentative="1">
      <w:start w:val="1"/>
      <w:numFmt w:val="lowerRoman"/>
      <w:lvlText w:val="%3."/>
      <w:lvlJc w:val="right"/>
      <w:pPr>
        <w:ind w:left="2194" w:hanging="180"/>
      </w:pPr>
      <w:rPr>
        <w:rFonts w:cs="Times New Roman"/>
      </w:rPr>
    </w:lvl>
    <w:lvl w:ilvl="3" w:tplc="0415000F" w:tentative="1">
      <w:start w:val="1"/>
      <w:numFmt w:val="decimal"/>
      <w:lvlText w:val="%4."/>
      <w:lvlJc w:val="left"/>
      <w:pPr>
        <w:ind w:left="2914" w:hanging="360"/>
      </w:pPr>
      <w:rPr>
        <w:rFonts w:cs="Times New Roman"/>
      </w:rPr>
    </w:lvl>
    <w:lvl w:ilvl="4" w:tplc="04150019" w:tentative="1">
      <w:start w:val="1"/>
      <w:numFmt w:val="lowerLetter"/>
      <w:lvlText w:val="%5."/>
      <w:lvlJc w:val="left"/>
      <w:pPr>
        <w:ind w:left="3634" w:hanging="360"/>
      </w:pPr>
      <w:rPr>
        <w:rFonts w:cs="Times New Roman"/>
      </w:rPr>
    </w:lvl>
    <w:lvl w:ilvl="5" w:tplc="0415001B" w:tentative="1">
      <w:start w:val="1"/>
      <w:numFmt w:val="lowerRoman"/>
      <w:lvlText w:val="%6."/>
      <w:lvlJc w:val="right"/>
      <w:pPr>
        <w:ind w:left="4354" w:hanging="180"/>
      </w:pPr>
      <w:rPr>
        <w:rFonts w:cs="Times New Roman"/>
      </w:rPr>
    </w:lvl>
    <w:lvl w:ilvl="6" w:tplc="0415000F" w:tentative="1">
      <w:start w:val="1"/>
      <w:numFmt w:val="decimal"/>
      <w:lvlText w:val="%7."/>
      <w:lvlJc w:val="left"/>
      <w:pPr>
        <w:ind w:left="5074" w:hanging="360"/>
      </w:pPr>
      <w:rPr>
        <w:rFonts w:cs="Times New Roman"/>
      </w:rPr>
    </w:lvl>
    <w:lvl w:ilvl="7" w:tplc="04150019" w:tentative="1">
      <w:start w:val="1"/>
      <w:numFmt w:val="lowerLetter"/>
      <w:lvlText w:val="%8."/>
      <w:lvlJc w:val="left"/>
      <w:pPr>
        <w:ind w:left="5794" w:hanging="360"/>
      </w:pPr>
      <w:rPr>
        <w:rFonts w:cs="Times New Roman"/>
      </w:rPr>
    </w:lvl>
    <w:lvl w:ilvl="8" w:tplc="0415001B" w:tentative="1">
      <w:start w:val="1"/>
      <w:numFmt w:val="lowerRoman"/>
      <w:lvlText w:val="%9."/>
      <w:lvlJc w:val="right"/>
      <w:pPr>
        <w:ind w:left="6514" w:hanging="180"/>
      </w:pPr>
      <w:rPr>
        <w:rFonts w:cs="Times New Roman"/>
      </w:rPr>
    </w:lvl>
  </w:abstractNum>
  <w:abstractNum w:abstractNumId="6">
    <w:nsid w:val="193F3FCF"/>
    <w:multiLevelType w:val="hybridMultilevel"/>
    <w:tmpl w:val="78C8F6C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C35607C"/>
    <w:multiLevelType w:val="hybridMultilevel"/>
    <w:tmpl w:val="448AEDCC"/>
    <w:lvl w:ilvl="0" w:tplc="2CAAD858">
      <w:start w:val="1"/>
      <w:numFmt w:val="decimal"/>
      <w:lvlText w:val="%1"/>
      <w:lvlJc w:val="left"/>
      <w:pPr>
        <w:ind w:left="1114" w:hanging="360"/>
      </w:pPr>
      <w:rPr>
        <w:rFonts w:cs="Times New Roman" w:hint="default"/>
      </w:rPr>
    </w:lvl>
    <w:lvl w:ilvl="1" w:tplc="04150019" w:tentative="1">
      <w:start w:val="1"/>
      <w:numFmt w:val="lowerLetter"/>
      <w:lvlText w:val="%2."/>
      <w:lvlJc w:val="left"/>
      <w:pPr>
        <w:ind w:left="1834" w:hanging="360"/>
      </w:pPr>
      <w:rPr>
        <w:rFonts w:cs="Times New Roman"/>
      </w:rPr>
    </w:lvl>
    <w:lvl w:ilvl="2" w:tplc="0415001B" w:tentative="1">
      <w:start w:val="1"/>
      <w:numFmt w:val="lowerRoman"/>
      <w:lvlText w:val="%3."/>
      <w:lvlJc w:val="right"/>
      <w:pPr>
        <w:ind w:left="2554" w:hanging="180"/>
      </w:pPr>
      <w:rPr>
        <w:rFonts w:cs="Times New Roman"/>
      </w:rPr>
    </w:lvl>
    <w:lvl w:ilvl="3" w:tplc="0415000F" w:tentative="1">
      <w:start w:val="1"/>
      <w:numFmt w:val="decimal"/>
      <w:lvlText w:val="%4."/>
      <w:lvlJc w:val="left"/>
      <w:pPr>
        <w:ind w:left="3274" w:hanging="360"/>
      </w:pPr>
      <w:rPr>
        <w:rFonts w:cs="Times New Roman"/>
      </w:rPr>
    </w:lvl>
    <w:lvl w:ilvl="4" w:tplc="04150019" w:tentative="1">
      <w:start w:val="1"/>
      <w:numFmt w:val="lowerLetter"/>
      <w:lvlText w:val="%5."/>
      <w:lvlJc w:val="left"/>
      <w:pPr>
        <w:ind w:left="3994" w:hanging="360"/>
      </w:pPr>
      <w:rPr>
        <w:rFonts w:cs="Times New Roman"/>
      </w:rPr>
    </w:lvl>
    <w:lvl w:ilvl="5" w:tplc="0415001B" w:tentative="1">
      <w:start w:val="1"/>
      <w:numFmt w:val="lowerRoman"/>
      <w:lvlText w:val="%6."/>
      <w:lvlJc w:val="right"/>
      <w:pPr>
        <w:ind w:left="4714" w:hanging="180"/>
      </w:pPr>
      <w:rPr>
        <w:rFonts w:cs="Times New Roman"/>
      </w:rPr>
    </w:lvl>
    <w:lvl w:ilvl="6" w:tplc="0415000F" w:tentative="1">
      <w:start w:val="1"/>
      <w:numFmt w:val="decimal"/>
      <w:lvlText w:val="%7."/>
      <w:lvlJc w:val="left"/>
      <w:pPr>
        <w:ind w:left="5434" w:hanging="360"/>
      </w:pPr>
      <w:rPr>
        <w:rFonts w:cs="Times New Roman"/>
      </w:rPr>
    </w:lvl>
    <w:lvl w:ilvl="7" w:tplc="04150019" w:tentative="1">
      <w:start w:val="1"/>
      <w:numFmt w:val="lowerLetter"/>
      <w:lvlText w:val="%8."/>
      <w:lvlJc w:val="left"/>
      <w:pPr>
        <w:ind w:left="6154" w:hanging="360"/>
      </w:pPr>
      <w:rPr>
        <w:rFonts w:cs="Times New Roman"/>
      </w:rPr>
    </w:lvl>
    <w:lvl w:ilvl="8" w:tplc="0415001B" w:tentative="1">
      <w:start w:val="1"/>
      <w:numFmt w:val="lowerRoman"/>
      <w:lvlText w:val="%9."/>
      <w:lvlJc w:val="right"/>
      <w:pPr>
        <w:ind w:left="6874" w:hanging="180"/>
      </w:pPr>
      <w:rPr>
        <w:rFonts w:cs="Times New Roman"/>
      </w:rPr>
    </w:lvl>
  </w:abstractNum>
  <w:abstractNum w:abstractNumId="8">
    <w:nsid w:val="1C5A5FDE"/>
    <w:multiLevelType w:val="hybridMultilevel"/>
    <w:tmpl w:val="64DCDE04"/>
    <w:lvl w:ilvl="0" w:tplc="04150011">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E640AE8"/>
    <w:multiLevelType w:val="hybridMultilevel"/>
    <w:tmpl w:val="C7DCF23A"/>
    <w:lvl w:ilvl="0" w:tplc="04150011">
      <w:start w:val="1"/>
      <w:numFmt w:val="decimal"/>
      <w:lvlText w:val="%1)"/>
      <w:lvlJc w:val="left"/>
      <w:pPr>
        <w:ind w:left="720" w:hanging="360"/>
      </w:pPr>
      <w:rPr>
        <w:rFonts w:cs="Times New Roma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F065F28"/>
    <w:multiLevelType w:val="hybridMultilevel"/>
    <w:tmpl w:val="608C3824"/>
    <w:lvl w:ilvl="0" w:tplc="C3E6EE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F70453B"/>
    <w:multiLevelType w:val="hybridMultilevel"/>
    <w:tmpl w:val="740669B8"/>
    <w:lvl w:ilvl="0" w:tplc="04150001">
      <w:start w:val="1"/>
      <w:numFmt w:val="bullet"/>
      <w:lvlText w:val=""/>
      <w:lvlJc w:val="left"/>
      <w:pPr>
        <w:tabs>
          <w:tab w:val="num" w:pos="394"/>
        </w:tabs>
        <w:ind w:left="394"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02B3B53"/>
    <w:multiLevelType w:val="hybridMultilevel"/>
    <w:tmpl w:val="36386AAA"/>
    <w:lvl w:ilvl="0" w:tplc="709C848A">
      <w:start w:val="1"/>
      <w:numFmt w:val="decimal"/>
      <w:lvlText w:val="%1."/>
      <w:lvlJc w:val="left"/>
      <w:pPr>
        <w:tabs>
          <w:tab w:val="num" w:pos="394"/>
        </w:tabs>
        <w:ind w:left="394" w:hanging="360"/>
      </w:pPr>
      <w:rPr>
        <w:rFonts w:cs="Times New Roman" w:hint="default"/>
      </w:rPr>
    </w:lvl>
    <w:lvl w:ilvl="1" w:tplc="04150019" w:tentative="1">
      <w:start w:val="1"/>
      <w:numFmt w:val="lowerLetter"/>
      <w:lvlText w:val="%2."/>
      <w:lvlJc w:val="left"/>
      <w:pPr>
        <w:tabs>
          <w:tab w:val="num" w:pos="1114"/>
        </w:tabs>
        <w:ind w:left="1114" w:hanging="360"/>
      </w:pPr>
      <w:rPr>
        <w:rFonts w:cs="Times New Roman"/>
      </w:rPr>
    </w:lvl>
    <w:lvl w:ilvl="2" w:tplc="0415001B" w:tentative="1">
      <w:start w:val="1"/>
      <w:numFmt w:val="lowerRoman"/>
      <w:lvlText w:val="%3."/>
      <w:lvlJc w:val="right"/>
      <w:pPr>
        <w:tabs>
          <w:tab w:val="num" w:pos="1834"/>
        </w:tabs>
        <w:ind w:left="1834" w:hanging="180"/>
      </w:pPr>
      <w:rPr>
        <w:rFonts w:cs="Times New Roman"/>
      </w:rPr>
    </w:lvl>
    <w:lvl w:ilvl="3" w:tplc="0415000F" w:tentative="1">
      <w:start w:val="1"/>
      <w:numFmt w:val="decimal"/>
      <w:lvlText w:val="%4."/>
      <w:lvlJc w:val="left"/>
      <w:pPr>
        <w:tabs>
          <w:tab w:val="num" w:pos="2554"/>
        </w:tabs>
        <w:ind w:left="2554" w:hanging="360"/>
      </w:pPr>
      <w:rPr>
        <w:rFonts w:cs="Times New Roman"/>
      </w:rPr>
    </w:lvl>
    <w:lvl w:ilvl="4" w:tplc="04150019" w:tentative="1">
      <w:start w:val="1"/>
      <w:numFmt w:val="lowerLetter"/>
      <w:lvlText w:val="%5."/>
      <w:lvlJc w:val="left"/>
      <w:pPr>
        <w:tabs>
          <w:tab w:val="num" w:pos="3274"/>
        </w:tabs>
        <w:ind w:left="3274" w:hanging="360"/>
      </w:pPr>
      <w:rPr>
        <w:rFonts w:cs="Times New Roman"/>
      </w:rPr>
    </w:lvl>
    <w:lvl w:ilvl="5" w:tplc="0415001B" w:tentative="1">
      <w:start w:val="1"/>
      <w:numFmt w:val="lowerRoman"/>
      <w:lvlText w:val="%6."/>
      <w:lvlJc w:val="right"/>
      <w:pPr>
        <w:tabs>
          <w:tab w:val="num" w:pos="3994"/>
        </w:tabs>
        <w:ind w:left="3994" w:hanging="180"/>
      </w:pPr>
      <w:rPr>
        <w:rFonts w:cs="Times New Roman"/>
      </w:rPr>
    </w:lvl>
    <w:lvl w:ilvl="6" w:tplc="0415000F" w:tentative="1">
      <w:start w:val="1"/>
      <w:numFmt w:val="decimal"/>
      <w:lvlText w:val="%7."/>
      <w:lvlJc w:val="left"/>
      <w:pPr>
        <w:tabs>
          <w:tab w:val="num" w:pos="4714"/>
        </w:tabs>
        <w:ind w:left="4714" w:hanging="360"/>
      </w:pPr>
      <w:rPr>
        <w:rFonts w:cs="Times New Roman"/>
      </w:rPr>
    </w:lvl>
    <w:lvl w:ilvl="7" w:tplc="04150019" w:tentative="1">
      <w:start w:val="1"/>
      <w:numFmt w:val="lowerLetter"/>
      <w:lvlText w:val="%8."/>
      <w:lvlJc w:val="left"/>
      <w:pPr>
        <w:tabs>
          <w:tab w:val="num" w:pos="5434"/>
        </w:tabs>
        <w:ind w:left="5434" w:hanging="360"/>
      </w:pPr>
      <w:rPr>
        <w:rFonts w:cs="Times New Roman"/>
      </w:rPr>
    </w:lvl>
    <w:lvl w:ilvl="8" w:tplc="0415001B" w:tentative="1">
      <w:start w:val="1"/>
      <w:numFmt w:val="lowerRoman"/>
      <w:lvlText w:val="%9."/>
      <w:lvlJc w:val="right"/>
      <w:pPr>
        <w:tabs>
          <w:tab w:val="num" w:pos="6154"/>
        </w:tabs>
        <w:ind w:left="6154" w:hanging="180"/>
      </w:pPr>
      <w:rPr>
        <w:rFonts w:cs="Times New Roman"/>
      </w:rPr>
    </w:lvl>
  </w:abstractNum>
  <w:abstractNum w:abstractNumId="13">
    <w:nsid w:val="21D931DA"/>
    <w:multiLevelType w:val="hybridMultilevel"/>
    <w:tmpl w:val="582A9468"/>
    <w:lvl w:ilvl="0" w:tplc="2CAAD858">
      <w:start w:val="1"/>
      <w:numFmt w:val="decimal"/>
      <w:lvlText w:val="%1"/>
      <w:lvlJc w:val="left"/>
      <w:pPr>
        <w:ind w:left="111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2AC205E8"/>
    <w:multiLevelType w:val="hybridMultilevel"/>
    <w:tmpl w:val="26A845D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0CC305C"/>
    <w:multiLevelType w:val="hybridMultilevel"/>
    <w:tmpl w:val="03E248C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35C1C45"/>
    <w:multiLevelType w:val="hybridMultilevel"/>
    <w:tmpl w:val="6338E5C6"/>
    <w:lvl w:ilvl="0" w:tplc="04150011">
      <w:start w:val="1"/>
      <w:numFmt w:val="decimal"/>
      <w:lvlText w:val="%1)"/>
      <w:lvlJc w:val="left"/>
      <w:pPr>
        <w:ind w:left="1080" w:hanging="360"/>
      </w:pPr>
      <w:rPr>
        <w:rFonts w:cs="Times New Roman" w:hint="default"/>
      </w:rPr>
    </w:lvl>
    <w:lvl w:ilvl="1" w:tplc="04150017">
      <w:start w:val="1"/>
      <w:numFmt w:val="lowerLetter"/>
      <w:lvlText w:val="%2)"/>
      <w:lvlJc w:val="left"/>
      <w:pPr>
        <w:ind w:left="1800" w:hanging="360"/>
      </w:pPr>
      <w:rPr>
        <w:rFonts w:cs="Times New Roman"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3DAB199F"/>
    <w:multiLevelType w:val="hybridMultilevel"/>
    <w:tmpl w:val="0792C498"/>
    <w:lvl w:ilvl="0" w:tplc="57C0CBAC">
      <w:start w:val="1"/>
      <w:numFmt w:val="decimal"/>
      <w:lvlText w:val="%1."/>
      <w:lvlJc w:val="left"/>
      <w:pPr>
        <w:ind w:left="500" w:hanging="360"/>
      </w:pPr>
      <w:rPr>
        <w:rFonts w:cs="Times New Roman" w:hint="default"/>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18">
    <w:nsid w:val="420F06EB"/>
    <w:multiLevelType w:val="hybridMultilevel"/>
    <w:tmpl w:val="34004B3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nsid w:val="471001F8"/>
    <w:multiLevelType w:val="hybridMultilevel"/>
    <w:tmpl w:val="A2E6EB9A"/>
    <w:lvl w:ilvl="0" w:tplc="1A70995E">
      <w:start w:val="1"/>
      <w:numFmt w:val="decimal"/>
      <w:lvlText w:val="%1."/>
      <w:lvlJc w:val="left"/>
      <w:pPr>
        <w:ind w:left="360" w:hanging="360"/>
      </w:pPr>
      <w:rPr>
        <w:rFonts w:ascii="Calibri" w:hAnsi="Calibri" w:cs="Calibri"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51305DAE"/>
    <w:multiLevelType w:val="hybridMultilevel"/>
    <w:tmpl w:val="00F4C8DC"/>
    <w:lvl w:ilvl="0" w:tplc="7BEA5B5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3FF169A"/>
    <w:multiLevelType w:val="hybridMultilevel"/>
    <w:tmpl w:val="58A8951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4410584"/>
    <w:multiLevelType w:val="hybridMultilevel"/>
    <w:tmpl w:val="402AF9E6"/>
    <w:lvl w:ilvl="0" w:tplc="04150001">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cs="Times New Roman"/>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3">
    <w:nsid w:val="59BB1802"/>
    <w:multiLevelType w:val="hybridMultilevel"/>
    <w:tmpl w:val="10FCDBF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A606968"/>
    <w:multiLevelType w:val="hybridMultilevel"/>
    <w:tmpl w:val="E09AFDD0"/>
    <w:lvl w:ilvl="0" w:tplc="04150013">
      <w:start w:val="1"/>
      <w:numFmt w:val="upperRoman"/>
      <w:lvlText w:val="%1."/>
      <w:lvlJc w:val="right"/>
      <w:pPr>
        <w:ind w:left="500" w:hanging="360"/>
      </w:pPr>
      <w:rPr>
        <w:rFonts w:cs="Times New Roman" w:hint="default"/>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25">
    <w:nsid w:val="5C742850"/>
    <w:multiLevelType w:val="hybridMultilevel"/>
    <w:tmpl w:val="70CA54B0"/>
    <w:lvl w:ilvl="0" w:tplc="0415000F">
      <w:start w:val="1"/>
      <w:numFmt w:val="decimal"/>
      <w:lvlText w:val="%1."/>
      <w:lvlJc w:val="left"/>
      <w:pPr>
        <w:ind w:left="501" w:hanging="360"/>
      </w:pPr>
      <w:rPr>
        <w:rFonts w:cs="Times New Roman"/>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26">
    <w:nsid w:val="618857E5"/>
    <w:multiLevelType w:val="hybridMultilevel"/>
    <w:tmpl w:val="843C7ED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635B759C"/>
    <w:multiLevelType w:val="hybridMultilevel"/>
    <w:tmpl w:val="9E66566A"/>
    <w:lvl w:ilvl="0" w:tplc="0415000F">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63C264AC"/>
    <w:multiLevelType w:val="hybridMultilevel"/>
    <w:tmpl w:val="A88EF1E6"/>
    <w:lvl w:ilvl="0" w:tplc="709C848A">
      <w:start w:val="1"/>
      <w:numFmt w:val="decimal"/>
      <w:lvlText w:val="%1."/>
      <w:lvlJc w:val="left"/>
      <w:pPr>
        <w:tabs>
          <w:tab w:val="num" w:pos="394"/>
        </w:tabs>
        <w:ind w:left="39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63C54781"/>
    <w:multiLevelType w:val="hybridMultilevel"/>
    <w:tmpl w:val="B09A7F6C"/>
    <w:lvl w:ilvl="0" w:tplc="04150001">
      <w:start w:val="1"/>
      <w:numFmt w:val="bullet"/>
      <w:lvlText w:val=""/>
      <w:lvlJc w:val="left"/>
      <w:pPr>
        <w:tabs>
          <w:tab w:val="num" w:pos="720"/>
        </w:tabs>
        <w:ind w:left="720" w:hanging="360"/>
      </w:pPr>
      <w:rPr>
        <w:rFonts w:ascii="Symbol" w:hAnsi="Symbol" w:hint="default"/>
      </w:rPr>
    </w:lvl>
    <w:lvl w:ilvl="1" w:tplc="04150017">
      <w:start w:val="1"/>
      <w:numFmt w:val="lowerLetter"/>
      <w:lvlText w:val="%2)"/>
      <w:lvlJc w:val="left"/>
      <w:pPr>
        <w:tabs>
          <w:tab w:val="num" w:pos="1440"/>
        </w:tabs>
        <w:ind w:left="1440" w:hanging="360"/>
      </w:pPr>
      <w:rPr>
        <w:rFonts w:cs="Times New Roman"/>
      </w:rPr>
    </w:lvl>
    <w:lvl w:ilvl="2" w:tplc="CA3AB5E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69814335"/>
    <w:multiLevelType w:val="hybridMultilevel"/>
    <w:tmpl w:val="6610D2F2"/>
    <w:lvl w:ilvl="0" w:tplc="52FE534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69C866CE"/>
    <w:multiLevelType w:val="hybridMultilevel"/>
    <w:tmpl w:val="507C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AD372D6"/>
    <w:multiLevelType w:val="hybridMultilevel"/>
    <w:tmpl w:val="9DB6F012"/>
    <w:lvl w:ilvl="0" w:tplc="04150001">
      <w:start w:val="1"/>
      <w:numFmt w:val="bullet"/>
      <w:lvlText w:val=""/>
      <w:lvlJc w:val="left"/>
      <w:pPr>
        <w:ind w:left="1285" w:hanging="360"/>
      </w:pPr>
      <w:rPr>
        <w:rFonts w:ascii="Symbol" w:hAnsi="Symbol" w:hint="default"/>
      </w:rPr>
    </w:lvl>
    <w:lvl w:ilvl="1" w:tplc="04150003" w:tentative="1">
      <w:start w:val="1"/>
      <w:numFmt w:val="bullet"/>
      <w:lvlText w:val="o"/>
      <w:lvlJc w:val="left"/>
      <w:pPr>
        <w:ind w:left="2005" w:hanging="360"/>
      </w:pPr>
      <w:rPr>
        <w:rFonts w:ascii="Courier New" w:hAnsi="Courier New" w:hint="default"/>
      </w:rPr>
    </w:lvl>
    <w:lvl w:ilvl="2" w:tplc="04150005" w:tentative="1">
      <w:start w:val="1"/>
      <w:numFmt w:val="bullet"/>
      <w:lvlText w:val=""/>
      <w:lvlJc w:val="left"/>
      <w:pPr>
        <w:ind w:left="2725" w:hanging="360"/>
      </w:pPr>
      <w:rPr>
        <w:rFonts w:ascii="Wingdings" w:hAnsi="Wingdings" w:hint="default"/>
      </w:rPr>
    </w:lvl>
    <w:lvl w:ilvl="3" w:tplc="04150001" w:tentative="1">
      <w:start w:val="1"/>
      <w:numFmt w:val="bullet"/>
      <w:lvlText w:val=""/>
      <w:lvlJc w:val="left"/>
      <w:pPr>
        <w:ind w:left="3445" w:hanging="360"/>
      </w:pPr>
      <w:rPr>
        <w:rFonts w:ascii="Symbol" w:hAnsi="Symbol" w:hint="default"/>
      </w:rPr>
    </w:lvl>
    <w:lvl w:ilvl="4" w:tplc="04150003" w:tentative="1">
      <w:start w:val="1"/>
      <w:numFmt w:val="bullet"/>
      <w:lvlText w:val="o"/>
      <w:lvlJc w:val="left"/>
      <w:pPr>
        <w:ind w:left="4165" w:hanging="360"/>
      </w:pPr>
      <w:rPr>
        <w:rFonts w:ascii="Courier New" w:hAnsi="Courier New" w:hint="default"/>
      </w:rPr>
    </w:lvl>
    <w:lvl w:ilvl="5" w:tplc="04150005" w:tentative="1">
      <w:start w:val="1"/>
      <w:numFmt w:val="bullet"/>
      <w:lvlText w:val=""/>
      <w:lvlJc w:val="left"/>
      <w:pPr>
        <w:ind w:left="4885" w:hanging="360"/>
      </w:pPr>
      <w:rPr>
        <w:rFonts w:ascii="Wingdings" w:hAnsi="Wingdings" w:hint="default"/>
      </w:rPr>
    </w:lvl>
    <w:lvl w:ilvl="6" w:tplc="04150001" w:tentative="1">
      <w:start w:val="1"/>
      <w:numFmt w:val="bullet"/>
      <w:lvlText w:val=""/>
      <w:lvlJc w:val="left"/>
      <w:pPr>
        <w:ind w:left="5605" w:hanging="360"/>
      </w:pPr>
      <w:rPr>
        <w:rFonts w:ascii="Symbol" w:hAnsi="Symbol" w:hint="default"/>
      </w:rPr>
    </w:lvl>
    <w:lvl w:ilvl="7" w:tplc="04150003" w:tentative="1">
      <w:start w:val="1"/>
      <w:numFmt w:val="bullet"/>
      <w:lvlText w:val="o"/>
      <w:lvlJc w:val="left"/>
      <w:pPr>
        <w:ind w:left="6325" w:hanging="360"/>
      </w:pPr>
      <w:rPr>
        <w:rFonts w:ascii="Courier New" w:hAnsi="Courier New" w:hint="default"/>
      </w:rPr>
    </w:lvl>
    <w:lvl w:ilvl="8" w:tplc="04150005" w:tentative="1">
      <w:start w:val="1"/>
      <w:numFmt w:val="bullet"/>
      <w:lvlText w:val=""/>
      <w:lvlJc w:val="left"/>
      <w:pPr>
        <w:ind w:left="7045" w:hanging="360"/>
      </w:pPr>
      <w:rPr>
        <w:rFonts w:ascii="Wingdings" w:hAnsi="Wingdings" w:hint="default"/>
      </w:rPr>
    </w:lvl>
  </w:abstractNum>
  <w:abstractNum w:abstractNumId="33">
    <w:nsid w:val="70EF5F18"/>
    <w:multiLevelType w:val="hybridMultilevel"/>
    <w:tmpl w:val="F7F8A78A"/>
    <w:lvl w:ilvl="0" w:tplc="19E8540E">
      <w:start w:val="1"/>
      <w:numFmt w:val="decimal"/>
      <w:lvlText w:val="%1"/>
      <w:lvlJc w:val="left"/>
      <w:pPr>
        <w:ind w:left="1065" w:hanging="705"/>
      </w:pPr>
      <w:rPr>
        <w:rFonts w:cs="Times New Roman" w:hint="default"/>
      </w:rPr>
    </w:lvl>
    <w:lvl w:ilvl="1" w:tplc="D1F2C3A0">
      <w:start w:val="23"/>
      <w:numFmt w:val="bullet"/>
      <w:lvlText w:val="•"/>
      <w:lvlJc w:val="left"/>
      <w:pPr>
        <w:ind w:left="1440" w:hanging="360"/>
      </w:pPr>
      <w:rPr>
        <w:rFonts w:ascii="Calibri" w:eastAsia="Times New Roman" w:hAnsi="Calibri"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29E5930"/>
    <w:multiLevelType w:val="hybridMultilevel"/>
    <w:tmpl w:val="F1F4DD96"/>
    <w:lvl w:ilvl="0" w:tplc="19E8540E">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73EB40CF"/>
    <w:multiLevelType w:val="hybridMultilevel"/>
    <w:tmpl w:val="9C48E334"/>
    <w:lvl w:ilvl="0" w:tplc="0415000F">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D835263"/>
    <w:multiLevelType w:val="hybridMultilevel"/>
    <w:tmpl w:val="C9D81286"/>
    <w:lvl w:ilvl="0" w:tplc="0415000F">
      <w:start w:val="1"/>
      <w:numFmt w:val="decimal"/>
      <w:lvlText w:val="%1."/>
      <w:lvlJc w:val="left"/>
      <w:pPr>
        <w:ind w:left="927" w:hanging="360"/>
      </w:pPr>
      <w:rPr>
        <w:rFonts w:cs="Times New Roman"/>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num w:numId="1">
    <w:abstractNumId w:val="35"/>
  </w:num>
  <w:num w:numId="2">
    <w:abstractNumId w:val="27"/>
  </w:num>
  <w:num w:numId="3">
    <w:abstractNumId w:val="12"/>
  </w:num>
  <w:num w:numId="4">
    <w:abstractNumId w:val="1"/>
  </w:num>
  <w:num w:numId="5">
    <w:abstractNumId w:val="10"/>
  </w:num>
  <w:num w:numId="6">
    <w:abstractNumId w:val="28"/>
  </w:num>
  <w:num w:numId="7">
    <w:abstractNumId w:val="11"/>
  </w:num>
  <w:num w:numId="8">
    <w:abstractNumId w:val="4"/>
  </w:num>
  <w:num w:numId="9">
    <w:abstractNumId w:val="7"/>
  </w:num>
  <w:num w:numId="10">
    <w:abstractNumId w:val="13"/>
  </w:num>
  <w:num w:numId="11">
    <w:abstractNumId w:val="22"/>
  </w:num>
  <w:num w:numId="12">
    <w:abstractNumId w:val="6"/>
  </w:num>
  <w:num w:numId="13">
    <w:abstractNumId w:val="31"/>
  </w:num>
  <w:num w:numId="14">
    <w:abstractNumId w:val="24"/>
  </w:num>
  <w:num w:numId="15">
    <w:abstractNumId w:val="32"/>
  </w:num>
  <w:num w:numId="16">
    <w:abstractNumId w:val="19"/>
  </w:num>
  <w:num w:numId="17">
    <w:abstractNumId w:val="0"/>
  </w:num>
  <w:num w:numId="18">
    <w:abstractNumId w:val="29"/>
  </w:num>
  <w:num w:numId="19">
    <w:abstractNumId w:val="26"/>
  </w:num>
  <w:num w:numId="20">
    <w:abstractNumId w:val="25"/>
  </w:num>
  <w:num w:numId="21">
    <w:abstractNumId w:val="5"/>
  </w:num>
  <w:num w:numId="22">
    <w:abstractNumId w:val="36"/>
  </w:num>
  <w:num w:numId="23">
    <w:abstractNumId w:val="17"/>
  </w:num>
  <w:num w:numId="24">
    <w:abstractNumId w:val="30"/>
  </w:num>
  <w:num w:numId="25">
    <w:abstractNumId w:val="20"/>
  </w:num>
  <w:num w:numId="26">
    <w:abstractNumId w:val="34"/>
  </w:num>
  <w:num w:numId="27">
    <w:abstractNumId w:val="16"/>
  </w:num>
  <w:num w:numId="28">
    <w:abstractNumId w:val="23"/>
  </w:num>
  <w:num w:numId="29">
    <w:abstractNumId w:val="15"/>
  </w:num>
  <w:num w:numId="30">
    <w:abstractNumId w:val="33"/>
  </w:num>
  <w:num w:numId="31">
    <w:abstractNumId w:val="9"/>
  </w:num>
  <w:num w:numId="32">
    <w:abstractNumId w:val="8"/>
  </w:num>
  <w:num w:numId="33">
    <w:abstractNumId w:val="21"/>
  </w:num>
  <w:num w:numId="34">
    <w:abstractNumId w:val="3"/>
  </w:num>
  <w:num w:numId="35">
    <w:abstractNumId w:val="14"/>
  </w:num>
  <w:num w:numId="36">
    <w:abstractNumId w:val="2"/>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embedSystemFonts/>
  <w:defaultTabStop w:val="708"/>
  <w:hyphenationZone w:val="425"/>
  <w:drawingGridHorizontalSpacing w:val="100"/>
  <w:displayHorizont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3C9A"/>
    <w:rsid w:val="00046FEF"/>
    <w:rsid w:val="000515C9"/>
    <w:rsid w:val="00051D7A"/>
    <w:rsid w:val="00061DA5"/>
    <w:rsid w:val="000757E3"/>
    <w:rsid w:val="000A1F06"/>
    <w:rsid w:val="000B6DEB"/>
    <w:rsid w:val="000C17B2"/>
    <w:rsid w:val="001033C1"/>
    <w:rsid w:val="00110855"/>
    <w:rsid w:val="00113FD9"/>
    <w:rsid w:val="001207C6"/>
    <w:rsid w:val="001547C0"/>
    <w:rsid w:val="001B3D8C"/>
    <w:rsid w:val="001C7E0A"/>
    <w:rsid w:val="001F6170"/>
    <w:rsid w:val="002067AF"/>
    <w:rsid w:val="002124EB"/>
    <w:rsid w:val="00212CB6"/>
    <w:rsid w:val="002134FA"/>
    <w:rsid w:val="0022422A"/>
    <w:rsid w:val="00234EB5"/>
    <w:rsid w:val="00246F25"/>
    <w:rsid w:val="00291570"/>
    <w:rsid w:val="002955D5"/>
    <w:rsid w:val="002D7BD2"/>
    <w:rsid w:val="003037F5"/>
    <w:rsid w:val="0033492D"/>
    <w:rsid w:val="00335179"/>
    <w:rsid w:val="00351D0F"/>
    <w:rsid w:val="003C726F"/>
    <w:rsid w:val="003F6262"/>
    <w:rsid w:val="00442397"/>
    <w:rsid w:val="004579C2"/>
    <w:rsid w:val="00457DD4"/>
    <w:rsid w:val="0046171E"/>
    <w:rsid w:val="00471B5A"/>
    <w:rsid w:val="00472E83"/>
    <w:rsid w:val="00473C9A"/>
    <w:rsid w:val="004951CD"/>
    <w:rsid w:val="0049675B"/>
    <w:rsid w:val="00516D1B"/>
    <w:rsid w:val="005A166D"/>
    <w:rsid w:val="005B38FA"/>
    <w:rsid w:val="005D6124"/>
    <w:rsid w:val="005F110D"/>
    <w:rsid w:val="005F17E7"/>
    <w:rsid w:val="00612339"/>
    <w:rsid w:val="006168D1"/>
    <w:rsid w:val="00617734"/>
    <w:rsid w:val="00650FB4"/>
    <w:rsid w:val="0066514D"/>
    <w:rsid w:val="00672313"/>
    <w:rsid w:val="00674076"/>
    <w:rsid w:val="006A06EB"/>
    <w:rsid w:val="006F243B"/>
    <w:rsid w:val="00704430"/>
    <w:rsid w:val="00720640"/>
    <w:rsid w:val="007C4E6A"/>
    <w:rsid w:val="008067F3"/>
    <w:rsid w:val="008447C1"/>
    <w:rsid w:val="00855C8A"/>
    <w:rsid w:val="008638FA"/>
    <w:rsid w:val="008B10DA"/>
    <w:rsid w:val="008C7A39"/>
    <w:rsid w:val="008D1767"/>
    <w:rsid w:val="008E5F01"/>
    <w:rsid w:val="00913ADE"/>
    <w:rsid w:val="00920905"/>
    <w:rsid w:val="009306C9"/>
    <w:rsid w:val="00953AE0"/>
    <w:rsid w:val="00961242"/>
    <w:rsid w:val="0097117D"/>
    <w:rsid w:val="009A4903"/>
    <w:rsid w:val="009F2960"/>
    <w:rsid w:val="00A164DB"/>
    <w:rsid w:val="00A30605"/>
    <w:rsid w:val="00A32A35"/>
    <w:rsid w:val="00A5058F"/>
    <w:rsid w:val="00A84E1C"/>
    <w:rsid w:val="00A90595"/>
    <w:rsid w:val="00AA3EE1"/>
    <w:rsid w:val="00AA7401"/>
    <w:rsid w:val="00AB252A"/>
    <w:rsid w:val="00AD0D8B"/>
    <w:rsid w:val="00AF4016"/>
    <w:rsid w:val="00B00183"/>
    <w:rsid w:val="00B00C18"/>
    <w:rsid w:val="00B245B8"/>
    <w:rsid w:val="00B44141"/>
    <w:rsid w:val="00BB20B5"/>
    <w:rsid w:val="00BC33C5"/>
    <w:rsid w:val="00BC7282"/>
    <w:rsid w:val="00BD1506"/>
    <w:rsid w:val="00C230B7"/>
    <w:rsid w:val="00C55885"/>
    <w:rsid w:val="00CA2FF0"/>
    <w:rsid w:val="00CA6D7C"/>
    <w:rsid w:val="00CA79D6"/>
    <w:rsid w:val="00CB65BF"/>
    <w:rsid w:val="00CF0A10"/>
    <w:rsid w:val="00D21E36"/>
    <w:rsid w:val="00D24ADA"/>
    <w:rsid w:val="00DC3EF8"/>
    <w:rsid w:val="00DD4D51"/>
    <w:rsid w:val="00E06D8C"/>
    <w:rsid w:val="00E35CFD"/>
    <w:rsid w:val="00EA01E2"/>
    <w:rsid w:val="00F00060"/>
    <w:rsid w:val="00F84311"/>
    <w:rsid w:val="00FA7C9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header"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annotation subjec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C9A"/>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d,Nagłówek strony"/>
    <w:basedOn w:val="Normal"/>
    <w:link w:val="HeaderChar"/>
    <w:uiPriority w:val="99"/>
    <w:rsid w:val="00473C9A"/>
    <w:pPr>
      <w:tabs>
        <w:tab w:val="center" w:pos="4536"/>
        <w:tab w:val="right" w:pos="9072"/>
      </w:tabs>
    </w:pPr>
  </w:style>
  <w:style w:type="character" w:customStyle="1" w:styleId="HeaderChar">
    <w:name w:val="Header Char"/>
    <w:aliases w:val="hd Char,Nagłówek strony Char"/>
    <w:basedOn w:val="DefaultParagraphFont"/>
    <w:link w:val="Header"/>
    <w:uiPriority w:val="99"/>
    <w:locked/>
    <w:rsid w:val="00473C9A"/>
    <w:rPr>
      <w:rFonts w:ascii="Times New Roman" w:hAnsi="Times New Roman" w:cs="Times New Roman"/>
      <w:sz w:val="20"/>
      <w:szCs w:val="20"/>
      <w:lang w:eastAsia="pl-PL"/>
    </w:rPr>
  </w:style>
  <w:style w:type="paragraph" w:customStyle="1" w:styleId="Akapitzlist1">
    <w:name w:val="Akapit z listą1"/>
    <w:basedOn w:val="Normal"/>
    <w:uiPriority w:val="99"/>
    <w:rsid w:val="00473C9A"/>
    <w:pPr>
      <w:spacing w:after="200" w:line="276" w:lineRule="auto"/>
      <w:ind w:left="720"/>
    </w:pPr>
    <w:rPr>
      <w:rFonts w:ascii="Calibri" w:hAnsi="Calibri" w:cs="Calibri"/>
      <w:sz w:val="22"/>
      <w:szCs w:val="22"/>
      <w:lang w:eastAsia="en-US"/>
    </w:rPr>
  </w:style>
  <w:style w:type="paragraph" w:styleId="BodyText">
    <w:name w:val="Body Text"/>
    <w:basedOn w:val="Normal"/>
    <w:link w:val="BodyTextChar"/>
    <w:uiPriority w:val="99"/>
    <w:rsid w:val="00FA7C98"/>
    <w:pPr>
      <w:autoSpaceDE w:val="0"/>
      <w:autoSpaceDN w:val="0"/>
      <w:adjustRightInd w:val="0"/>
    </w:pPr>
    <w:rPr>
      <w:rFonts w:ascii="Tahoma" w:hAnsi="Tahoma" w:cs="Tahoma"/>
      <w:b/>
      <w:bCs/>
      <w:sz w:val="24"/>
      <w:szCs w:val="24"/>
    </w:rPr>
  </w:style>
  <w:style w:type="character" w:customStyle="1" w:styleId="BodyTextChar">
    <w:name w:val="Body Text Char"/>
    <w:basedOn w:val="DefaultParagraphFont"/>
    <w:link w:val="BodyText"/>
    <w:uiPriority w:val="99"/>
    <w:locked/>
    <w:rsid w:val="00FA7C98"/>
    <w:rPr>
      <w:rFonts w:ascii="Tahoma" w:hAnsi="Tahoma" w:cs="Tahoma"/>
      <w:b/>
      <w:bCs/>
      <w:sz w:val="24"/>
      <w:szCs w:val="24"/>
      <w:lang w:eastAsia="pl-PL"/>
    </w:rPr>
  </w:style>
  <w:style w:type="paragraph" w:styleId="ListParagraph">
    <w:name w:val="List Paragraph"/>
    <w:basedOn w:val="Normal"/>
    <w:uiPriority w:val="99"/>
    <w:qFormat/>
    <w:rsid w:val="00B00C18"/>
    <w:pPr>
      <w:ind w:left="720"/>
      <w:contextualSpacing/>
    </w:pPr>
  </w:style>
  <w:style w:type="paragraph" w:customStyle="1" w:styleId="Akapitzlist2">
    <w:name w:val="Akapit z listą2"/>
    <w:basedOn w:val="Normal"/>
    <w:uiPriority w:val="99"/>
    <w:rsid w:val="008B10DA"/>
    <w:pPr>
      <w:spacing w:after="200" w:line="276" w:lineRule="auto"/>
      <w:ind w:left="720"/>
      <w:contextualSpacing/>
    </w:pPr>
    <w:rPr>
      <w:rFonts w:ascii="Calibri" w:hAnsi="Calibri" w:cs="Calibri"/>
      <w:sz w:val="22"/>
      <w:szCs w:val="22"/>
      <w:lang w:eastAsia="en-US"/>
    </w:rPr>
  </w:style>
  <w:style w:type="paragraph" w:styleId="Title">
    <w:name w:val="Title"/>
    <w:basedOn w:val="Normal"/>
    <w:link w:val="TitleChar"/>
    <w:uiPriority w:val="99"/>
    <w:qFormat/>
    <w:rsid w:val="00A164DB"/>
    <w:pPr>
      <w:jc w:val="center"/>
    </w:pPr>
    <w:rPr>
      <w:sz w:val="24"/>
      <w:szCs w:val="24"/>
    </w:rPr>
  </w:style>
  <w:style w:type="character" w:customStyle="1" w:styleId="TitleChar">
    <w:name w:val="Title Char"/>
    <w:basedOn w:val="DefaultParagraphFont"/>
    <w:link w:val="Title"/>
    <w:uiPriority w:val="99"/>
    <w:locked/>
    <w:rsid w:val="00A164DB"/>
    <w:rPr>
      <w:rFonts w:ascii="Times New Roman" w:hAnsi="Times New Roman" w:cs="Times New Roman"/>
      <w:sz w:val="20"/>
      <w:szCs w:val="20"/>
      <w:lang w:eastAsia="pl-PL"/>
    </w:rPr>
  </w:style>
  <w:style w:type="paragraph" w:customStyle="1" w:styleId="Akapitzlist3">
    <w:name w:val="Akapit z listą3"/>
    <w:basedOn w:val="Normal"/>
    <w:uiPriority w:val="99"/>
    <w:rsid w:val="00B00183"/>
    <w:pPr>
      <w:spacing w:after="200" w:line="276" w:lineRule="auto"/>
      <w:ind w:left="720"/>
    </w:pPr>
    <w:rPr>
      <w:rFonts w:ascii="Calibri" w:hAnsi="Calibri" w:cs="Calibri"/>
      <w:sz w:val="22"/>
      <w:szCs w:val="22"/>
      <w:lang w:eastAsia="en-US"/>
    </w:rPr>
  </w:style>
  <w:style w:type="table" w:styleId="TableGrid">
    <w:name w:val="Table Grid"/>
    <w:basedOn w:val="TableNormal"/>
    <w:uiPriority w:val="99"/>
    <w:rsid w:val="0033492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E06D8C"/>
    <w:pPr>
      <w:spacing w:before="100" w:beforeAutospacing="1" w:after="100" w:afterAutospacing="1"/>
    </w:pPr>
    <w:rPr>
      <w:rFonts w:eastAsia="Calibri"/>
      <w:sz w:val="24"/>
      <w:szCs w:val="24"/>
    </w:rPr>
  </w:style>
  <w:style w:type="character" w:styleId="CommentReference">
    <w:name w:val="annotation reference"/>
    <w:basedOn w:val="DefaultParagraphFont"/>
    <w:uiPriority w:val="99"/>
    <w:semiHidden/>
    <w:rsid w:val="0022422A"/>
    <w:rPr>
      <w:rFonts w:cs="Times New Roman"/>
      <w:sz w:val="16"/>
      <w:szCs w:val="16"/>
    </w:rPr>
  </w:style>
  <w:style w:type="paragraph" w:styleId="CommentText">
    <w:name w:val="annotation text"/>
    <w:basedOn w:val="Normal"/>
    <w:link w:val="CommentTextChar"/>
    <w:uiPriority w:val="99"/>
    <w:semiHidden/>
    <w:rsid w:val="0022422A"/>
  </w:style>
  <w:style w:type="character" w:customStyle="1" w:styleId="CommentTextChar">
    <w:name w:val="Comment Text Char"/>
    <w:basedOn w:val="DefaultParagraphFont"/>
    <w:link w:val="CommentText"/>
    <w:uiPriority w:val="99"/>
    <w:semiHidden/>
    <w:locked/>
    <w:rsid w:val="0022422A"/>
    <w:rPr>
      <w:rFonts w:ascii="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rsid w:val="0022422A"/>
    <w:rPr>
      <w:b/>
      <w:bCs/>
    </w:rPr>
  </w:style>
  <w:style w:type="character" w:customStyle="1" w:styleId="CommentSubjectChar">
    <w:name w:val="Comment Subject Char"/>
    <w:basedOn w:val="CommentTextChar"/>
    <w:link w:val="CommentSubject"/>
    <w:uiPriority w:val="99"/>
    <w:semiHidden/>
    <w:locked/>
    <w:rsid w:val="0022422A"/>
    <w:rPr>
      <w:b/>
      <w:bCs/>
    </w:rPr>
  </w:style>
  <w:style w:type="paragraph" w:styleId="BalloonText">
    <w:name w:val="Balloon Text"/>
    <w:basedOn w:val="Normal"/>
    <w:link w:val="BalloonTextChar"/>
    <w:uiPriority w:val="99"/>
    <w:semiHidden/>
    <w:rsid w:val="0022422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422A"/>
    <w:rPr>
      <w:rFonts w:ascii="Tahoma" w:hAnsi="Tahoma" w:cs="Tahoma"/>
      <w:sz w:val="16"/>
      <w:szCs w:val="16"/>
      <w:lang w:eastAsia="pl-PL"/>
    </w:rPr>
  </w:style>
  <w:style w:type="paragraph" w:customStyle="1" w:styleId="ColorfulList-Accent11">
    <w:name w:val="Colorful List - Accent 11"/>
    <w:basedOn w:val="Normal"/>
    <w:uiPriority w:val="99"/>
    <w:rsid w:val="000A1F06"/>
    <w:pPr>
      <w:ind w:left="720"/>
      <w:contextualSpacing/>
    </w:pPr>
  </w:style>
</w:styles>
</file>

<file path=word/webSettings.xml><?xml version="1.0" encoding="utf-8"?>
<w:webSettings xmlns:r="http://schemas.openxmlformats.org/officeDocument/2006/relationships" xmlns:w="http://schemas.openxmlformats.org/wordprocessingml/2006/main">
  <w:divs>
    <w:div w:id="393508305">
      <w:marLeft w:val="0"/>
      <w:marRight w:val="0"/>
      <w:marTop w:val="0"/>
      <w:marBottom w:val="0"/>
      <w:divBdr>
        <w:top w:val="none" w:sz="0" w:space="0" w:color="auto"/>
        <w:left w:val="none" w:sz="0" w:space="0" w:color="auto"/>
        <w:bottom w:val="none" w:sz="0" w:space="0" w:color="auto"/>
        <w:right w:val="none" w:sz="0" w:space="0" w:color="auto"/>
      </w:divBdr>
    </w:div>
    <w:div w:id="3935083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2521</Words>
  <Characters>15132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Dane do specyfikacji istotnych warunków zamówienia</dc:title>
  <dc:subject/>
  <dc:creator>janusz_s</dc:creator>
  <cp:keywords/>
  <dc:description/>
  <cp:lastModifiedBy>szymon</cp:lastModifiedBy>
  <cp:revision>2</cp:revision>
  <cp:lastPrinted>2015-04-30T08:31:00Z</cp:lastPrinted>
  <dcterms:created xsi:type="dcterms:W3CDTF">2015-04-30T08:32:00Z</dcterms:created>
  <dcterms:modified xsi:type="dcterms:W3CDTF">2015-04-30T08:32:00Z</dcterms:modified>
</cp:coreProperties>
</file>