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624" w:rsidRDefault="009E262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kierownictwa jednostki do  sprawozdania finansowego za rok 2019 w związku z badaniem sprawozdania finansowego Miasta Poznania </w:t>
      </w:r>
    </w:p>
    <w:p w:rsidR="009E2624" w:rsidRDefault="009E2624">
      <w:pPr>
        <w:spacing w:before="80" w:after="80" w:line="240" w:lineRule="auto"/>
        <w:ind w:left="720"/>
        <w:rPr>
          <w:rFonts w:ascii="Bookman Old Style" w:hAnsi="Bookman Old Style" w:cs="Bookman Old Style"/>
          <w:color w:val="000000"/>
        </w:rPr>
      </w:pPr>
    </w:p>
    <w:p w:rsidR="009E2624" w:rsidRDefault="009E2624">
      <w:pPr>
        <w:pStyle w:val="Akapitzlist"/>
        <w:numPr>
          <w:ilvl w:val="1"/>
          <w:numId w:val="1"/>
        </w:numPr>
        <w:spacing w:before="80" w:after="80" w:line="240" w:lineRule="auto"/>
        <w:ind w:left="42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jednostki oświadcza, że sprawozdanie finansowe za rok 2019 sporządzone zostało zgodnie z obowiązującymi przepisami prawa, na podstawie ksiąg rachunkowych </w:t>
      </w:r>
      <w:r>
        <w:rPr>
          <w:rFonts w:ascii="Times New Roman" w:hAnsi="Times New Roman" w:cs="Times New Roman"/>
        </w:rPr>
        <w:br/>
        <w:t>i przedstawione do badania dane zostały ujęte w sposób  kompletny, uwzględniający:</w:t>
      </w:r>
    </w:p>
    <w:p w:rsidR="009E2624" w:rsidRDefault="009E2624">
      <w:pPr>
        <w:pStyle w:val="Akapitzlist"/>
        <w:numPr>
          <w:ilvl w:val="2"/>
          <w:numId w:val="1"/>
        </w:numPr>
        <w:spacing w:before="80" w:after="80" w:line="240" w:lineRule="auto"/>
        <w:ind w:left="1134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operacje dotyczące okresu, za który sporządzono sprawozdanie finansowe,</w:t>
      </w:r>
    </w:p>
    <w:p w:rsidR="009E2624" w:rsidRDefault="009E2624">
      <w:pPr>
        <w:pStyle w:val="Akapitzlist"/>
        <w:numPr>
          <w:ilvl w:val="2"/>
          <w:numId w:val="1"/>
        </w:numPr>
        <w:spacing w:before="80" w:after="80" w:line="240" w:lineRule="auto"/>
        <w:ind w:left="1134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zobowiązania warunkowe oraz</w:t>
      </w:r>
    </w:p>
    <w:p w:rsidR="009E2624" w:rsidRDefault="009E2624">
      <w:pPr>
        <w:pStyle w:val="Akapitzlist"/>
        <w:numPr>
          <w:ilvl w:val="2"/>
          <w:numId w:val="1"/>
        </w:numPr>
        <w:spacing w:before="80" w:after="80" w:line="240" w:lineRule="auto"/>
        <w:ind w:left="1134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zdarzenia, które nastąpiły po dacie bilansu a także inne ważne informacje, które rzutują na rzetelność i prawidłowość sprawozdania finansowego i ksiąg rachunkowych.</w:t>
      </w:r>
    </w:p>
    <w:p w:rsidR="009E2624" w:rsidRDefault="009E2624">
      <w:pPr>
        <w:pStyle w:val="Akapitzlist"/>
        <w:numPr>
          <w:ilvl w:val="1"/>
          <w:numId w:val="1"/>
        </w:numPr>
        <w:spacing w:before="80" w:after="80" w:line="240" w:lineRule="auto"/>
        <w:ind w:left="42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jednostki oświadcza, że dokonano właściwej wyceny majątku, a także, że  utworzono wszelkie odpisy aktualizujące niezbędne do prawidłowej wyceny aktywów oraz wprowadzono do ewidencji wszystkie zobowiązania i rezerwy na przyszłe koszty i straty.</w:t>
      </w:r>
    </w:p>
    <w:p w:rsidR="009E2624" w:rsidRDefault="009E2624">
      <w:pPr>
        <w:pStyle w:val="Akapitzlist"/>
        <w:numPr>
          <w:ilvl w:val="1"/>
          <w:numId w:val="1"/>
        </w:numPr>
        <w:spacing w:before="80" w:after="80" w:line="240" w:lineRule="auto"/>
        <w:ind w:left="42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Inwentaryzacja została przeprowadzona zgodnie z przepisami ustawy o rachunkowości, </w:t>
      </w:r>
      <w:r>
        <w:rPr>
          <w:rFonts w:ascii="Times New Roman" w:hAnsi="Times New Roman" w:cs="Times New Roman"/>
        </w:rPr>
        <w:br/>
        <w:t>a jej wyniki prawidłowo udokumentowane i ujęte w księgach rachunkowych.</w:t>
      </w:r>
    </w:p>
    <w:p w:rsidR="009E2624" w:rsidRDefault="009E2624">
      <w:pPr>
        <w:pStyle w:val="Akapitzlist"/>
        <w:numPr>
          <w:ilvl w:val="1"/>
          <w:numId w:val="1"/>
        </w:numPr>
        <w:spacing w:before="80" w:after="80" w:line="240" w:lineRule="auto"/>
        <w:ind w:left="42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Posiadamy pełną świadomość ponoszonej przez nas odpowiedzialności za:</w:t>
      </w:r>
    </w:p>
    <w:p w:rsidR="009E2624" w:rsidRDefault="009E2624">
      <w:pPr>
        <w:pStyle w:val="Akapitzlist"/>
        <w:spacing w:before="80" w:after="80" w:line="240" w:lineRule="auto"/>
        <w:ind w:left="540" w:right="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prawidłowość, rzetelność i prawidłową prezentację przedstawionego do badania                                                                          sprawozdania finansowego oraz stanowiących podstawę jego sporządzenia ksiąg rachunkowych i dowodów księgowych,</w:t>
      </w:r>
    </w:p>
    <w:p w:rsidR="009E2624" w:rsidRDefault="009E2624">
      <w:pPr>
        <w:pStyle w:val="Akapitzlist"/>
        <w:numPr>
          <w:ilvl w:val="1"/>
          <w:numId w:val="5"/>
        </w:numPr>
        <w:spacing w:before="80" w:after="8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prawidłowość i terminowość obliczenia, zadeklarowania i odprowadzenia podatków</w:t>
      </w:r>
      <w:r>
        <w:rPr>
          <w:rFonts w:ascii="Times New Roman" w:hAnsi="Times New Roman" w:cs="Times New Roman"/>
        </w:rPr>
        <w:br/>
        <w:t xml:space="preserve">   i innych należności publicznoprawnych,</w:t>
      </w:r>
    </w:p>
    <w:p w:rsidR="009E2624" w:rsidRDefault="009E2624">
      <w:pPr>
        <w:pStyle w:val="Akapitzlist"/>
        <w:numPr>
          <w:ilvl w:val="1"/>
          <w:numId w:val="5"/>
        </w:numPr>
        <w:spacing w:before="80" w:after="80" w:line="240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kompletne ujęcie danych w księgach rachunkowych oraz Sprawozdaniu finansowym, </w:t>
      </w:r>
      <w:r>
        <w:rPr>
          <w:rFonts w:ascii="Times New Roman" w:hAnsi="Times New Roman" w:cs="Times New Roman"/>
        </w:rPr>
        <w:br/>
        <w:t xml:space="preserve">   w tym zobowiązań i aktywów warunkowych oraz zdarzeń, które wystąpiły po dacie</w:t>
      </w:r>
    </w:p>
    <w:p w:rsidR="009E2624" w:rsidRDefault="009E2624">
      <w:pPr>
        <w:pStyle w:val="Akapitzlist"/>
        <w:spacing w:before="80" w:after="80" w:line="240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bilansu wchodzącego w skład sprawozdania finansowego,                                                                                           </w:t>
      </w:r>
    </w:p>
    <w:p w:rsidR="009E2624" w:rsidRDefault="009E2624">
      <w:pPr>
        <w:pStyle w:val="Akapitzlist"/>
        <w:numPr>
          <w:ilvl w:val="1"/>
          <w:numId w:val="5"/>
        </w:numPr>
        <w:spacing w:before="80" w:after="8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wykazanie operacji pozabilansowych.</w:t>
      </w: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Poznań, dnia...</w:t>
      </w:r>
      <w:r w:rsidR="007E5F7A">
        <w:rPr>
          <w:rFonts w:ascii="Times New Roman" w:hAnsi="Times New Roman" w:cs="Times New Roman"/>
        </w:rPr>
        <w:t>19.02.2020 r.</w:t>
      </w:r>
      <w:bookmarkStart w:id="0" w:name="_GoBack"/>
      <w:bookmarkEnd w:id="0"/>
      <w:r>
        <w:rPr>
          <w:rFonts w:ascii="Times New Roman" w:hAnsi="Times New Roman" w:cs="Times New Roman"/>
        </w:rPr>
        <w:t>.......................</w:t>
      </w: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                                              ..........................................................</w:t>
      </w:r>
    </w:p>
    <w:p w:rsidR="009E2624" w:rsidRDefault="009E2624">
      <w:pPr>
        <w:pStyle w:val="Akapitzlist"/>
        <w:spacing w:before="80" w:after="80" w:line="240" w:lineRule="auto"/>
        <w:ind w:left="1134" w:righ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głównego księgowego)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kierownika jednostki)</w:t>
      </w:r>
    </w:p>
    <w:sectPr w:rsidR="009E2624" w:rsidSect="009E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3141"/>
    <w:multiLevelType w:val="multilevel"/>
    <w:tmpl w:val="7C7036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C66AA4"/>
    <w:multiLevelType w:val="multilevel"/>
    <w:tmpl w:val="701442A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1.%3.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D4B5F61"/>
    <w:multiLevelType w:val="multilevel"/>
    <w:tmpl w:val="B35E8EF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500B4C"/>
    <w:multiLevelType w:val="multilevel"/>
    <w:tmpl w:val="30E06A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3B6C3B"/>
    <w:multiLevelType w:val="multilevel"/>
    <w:tmpl w:val="9F64599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6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24"/>
    <w:rsid w:val="00731D50"/>
    <w:rsid w:val="007E5F7A"/>
    <w:rsid w:val="008330C7"/>
    <w:rsid w:val="009E2624"/>
    <w:rsid w:val="00E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684C2"/>
  <w15:docId w15:val="{160B13BD-2D9A-4DAF-9B04-A0AE5DAF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0C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30C7"/>
    <w:pPr>
      <w:spacing w:after="4" w:line="265" w:lineRule="auto"/>
      <w:ind w:left="720" w:right="1742" w:firstLine="5"/>
      <w:jc w:val="both"/>
    </w:pPr>
    <w:rPr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8330C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330C7"/>
    <w:pPr>
      <w:spacing w:after="4" w:line="240" w:lineRule="auto"/>
      <w:ind w:left="2857" w:right="1742" w:firstLine="5"/>
      <w:jc w:val="both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0C7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3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30C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330C7"/>
    <w:pPr>
      <w:spacing w:before="80" w:after="80" w:line="240" w:lineRule="auto"/>
      <w:jc w:val="center"/>
    </w:pPr>
    <w:rPr>
      <w:b/>
      <w:bCs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0C7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kierownictwa jednostki do umowy o badanie sprawozdania finansowego Miasta Poznania za lata 2018 i 2019</dc:title>
  <dc:creator>WWitczak</dc:creator>
  <cp:lastModifiedBy>Barbara Konieczka</cp:lastModifiedBy>
  <cp:revision>3</cp:revision>
  <cp:lastPrinted>2018-12-13T10:22:00Z</cp:lastPrinted>
  <dcterms:created xsi:type="dcterms:W3CDTF">2020-01-09T06:31:00Z</dcterms:created>
  <dcterms:modified xsi:type="dcterms:W3CDTF">2020-02-18T12:33:00Z</dcterms:modified>
</cp:coreProperties>
</file>